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Autospacing="0" w:before="0" w:afterAutospacing="0" w:after="0"/>
        <w:jc w:val="center"/>
        <w:rPr>
          <w:b/>
          <w:b/>
        </w:rPr>
      </w:pPr>
      <w:r>
        <w:rPr>
          <w:b/>
          <w:sz w:val="28"/>
          <w:szCs w:val="28"/>
        </w:rPr>
        <w:t>ОТЧЕТ</w:t>
      </w:r>
    </w:p>
    <w:p>
      <w:pPr>
        <w:pStyle w:val="NormalWeb"/>
        <w:spacing w:beforeAutospacing="0" w:before="0" w:afterAutospacing="0" w:after="0"/>
        <w:jc w:val="center"/>
        <w:rPr>
          <w:b/>
          <w:b/>
        </w:rPr>
      </w:pPr>
      <w:r>
        <w:rPr>
          <w:b/>
          <w:sz w:val="28"/>
          <w:szCs w:val="28"/>
        </w:rPr>
        <w:t>ревизионной комиссии СНП «Северная жемчужина»</w:t>
      </w:r>
    </w:p>
    <w:p>
      <w:pPr>
        <w:pStyle w:val="NormalWeb"/>
        <w:spacing w:beforeAutospacing="0" w:before="0" w:afterAutospacing="0" w:after="0"/>
        <w:jc w:val="center"/>
        <w:rPr>
          <w:b/>
          <w:b/>
        </w:rPr>
      </w:pPr>
      <w:r>
        <w:rPr>
          <w:b/>
          <w:sz w:val="28"/>
          <w:szCs w:val="28"/>
        </w:rPr>
        <w:t>от  __ декабря 2016 года.</w:t>
      </w:r>
    </w:p>
    <w:p>
      <w:pPr>
        <w:pStyle w:val="NormalWeb"/>
        <w:spacing w:beforeAutospacing="0" w:before="0" w:afterAutospacing="0" w:after="0"/>
        <w:jc w:val="center"/>
        <w:rPr/>
      </w:pPr>
      <w:r>
        <w:rPr>
          <w:sz w:val="28"/>
          <w:szCs w:val="28"/>
        </w:rPr>
        <w:t> </w:t>
      </w:r>
    </w:p>
    <w:p>
      <w:pPr>
        <w:pStyle w:val="NormalWeb"/>
        <w:spacing w:beforeAutospacing="0" w:before="0" w:afterAutospacing="0" w:after="0"/>
        <w:jc w:val="center"/>
        <w:rPr/>
      </w:pPr>
      <w:r>
        <w:rPr/>
        <w:t> </w:t>
      </w:r>
    </w:p>
    <w:p>
      <w:pPr>
        <w:pStyle w:val="NormalWeb"/>
        <w:spacing w:beforeAutospacing="0" w:before="0" w:afterAutospacing="0" w:after="0"/>
        <w:ind w:left="708" w:hanging="0"/>
        <w:jc w:val="both"/>
        <w:rPr/>
      </w:pPr>
      <w:r>
        <w:rPr/>
        <w:t>На основании протокола № 05/15 от 03 апреля 2015г. комиссия в составе:</w:t>
      </w:r>
    </w:p>
    <w:p>
      <w:pPr>
        <w:pStyle w:val="NormalWeb"/>
        <w:spacing w:beforeAutospacing="0" w:before="0" w:afterAutospacing="0" w:after="0"/>
        <w:ind w:left="708" w:hanging="0"/>
        <w:jc w:val="both"/>
        <w:rPr/>
      </w:pPr>
      <w:r>
        <w:rPr/>
      </w:r>
    </w:p>
    <w:p>
      <w:pPr>
        <w:pStyle w:val="NormalWeb"/>
        <w:spacing w:beforeAutospacing="0" w:before="0" w:afterAutospacing="0" w:after="0"/>
        <w:jc w:val="both"/>
        <w:rPr/>
      </w:pPr>
      <w:r>
        <w:rPr/>
        <w:t>Член партнерства  - Антипова Елена Игоревна</w:t>
      </w:r>
    </w:p>
    <w:p>
      <w:pPr>
        <w:pStyle w:val="NormalWeb"/>
        <w:spacing w:beforeAutospacing="0" w:before="0" w:afterAutospacing="0" w:after="0"/>
        <w:jc w:val="both"/>
        <w:rPr/>
      </w:pPr>
      <w:r>
        <w:rPr/>
        <w:t>Член партнерства – Яицкий Леонид Юрьевич</w:t>
      </w:r>
    </w:p>
    <w:p>
      <w:pPr>
        <w:pStyle w:val="NormalWeb"/>
        <w:spacing w:beforeAutospacing="0" w:before="0" w:afterAutospacing="0" w:after="0"/>
        <w:jc w:val="both"/>
        <w:rPr/>
      </w:pPr>
      <w:r>
        <w:rPr/>
        <w:t>Член партнерства – Семенова Юлия Михайловна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ListParagraph1"/>
        <w:numPr>
          <w:ilvl w:val="0"/>
          <w:numId w:val="1"/>
        </w:numPr>
        <w:spacing w:lineRule="auto" w:line="240" w:before="0" w:after="0"/>
        <w:contextualSpacing/>
        <w:jc w:val="both"/>
        <w:rPr>
          <w:rFonts w:ascii="Times New Roman" w:hAnsi="Times New Roman"/>
          <w:sz w:val="24"/>
          <w:szCs w:val="24"/>
        </w:rPr>
      </w:pPr>
      <w:r>
        <w:rPr>
          <w:rFonts w:ascii="Times New Roman" w:hAnsi="Times New Roman"/>
          <w:sz w:val="24"/>
          <w:szCs w:val="24"/>
        </w:rPr>
        <w:t>Члены ревизионной комиссии не являются членами правления, их супругами, родителями, детьми, внуками, братьями, сестрами и их супругами.</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______________</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______________</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______________</w:t>
      </w:r>
    </w:p>
    <w:p>
      <w:pPr>
        <w:pStyle w:val="NormalWeb"/>
        <w:spacing w:beforeAutospacing="0" w:before="0" w:afterAutospacing="0" w:after="0"/>
        <w:jc w:val="both"/>
        <w:rPr/>
      </w:pPr>
      <w:r>
        <w:rPr/>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провели проверку финансово-хозяйственной деятельности СНП «Северная жемчужина» за период с 01.01.2015г. по 31.12.2015г.</w:t>
      </w:r>
    </w:p>
    <w:p>
      <w:pPr>
        <w:pStyle w:val="NormalWeb"/>
        <w:spacing w:beforeAutospacing="0" w:before="0" w:afterAutospacing="0" w:after="0"/>
        <w:jc w:val="both"/>
        <w:rPr/>
      </w:pPr>
      <w:r>
        <w:rPr/>
        <w:t>  </w:t>
      </w:r>
    </w:p>
    <w:p>
      <w:pPr>
        <w:pStyle w:val="NormalWeb"/>
        <w:spacing w:beforeAutospacing="0" w:before="0" w:afterAutospacing="0" w:after="0"/>
        <w:ind w:left="-567" w:firstLine="567"/>
        <w:jc w:val="both"/>
        <w:rPr/>
      </w:pPr>
      <w:r>
        <w:rPr/>
        <w:t>По запросу ревизионной комиссии для проверки были представлены следующие документы:</w:t>
      </w:r>
    </w:p>
    <w:p>
      <w:pPr>
        <w:pStyle w:val="NormalWeb"/>
        <w:spacing w:beforeAutospacing="0" w:before="0" w:afterAutospacing="0" w:after="0"/>
        <w:jc w:val="both"/>
        <w:rPr>
          <w:color w:val="FF0000"/>
        </w:rPr>
      </w:pPr>
      <w:r>
        <w:rPr/>
        <w:t>- отчет ревизионной комиссии за 2013,2014 год;</w:t>
      </w:r>
    </w:p>
    <w:p>
      <w:pPr>
        <w:pStyle w:val="NormalWeb"/>
        <w:spacing w:beforeAutospacing="0" w:before="0" w:afterAutospacing="0" w:after="0"/>
        <w:ind w:left="-567" w:firstLine="567"/>
        <w:jc w:val="both"/>
        <w:rPr/>
      </w:pPr>
      <w:r>
        <w:rPr/>
        <w:t>- отчет о движении денежных средств (отчет об использовании полученных средств) за проверяемый период;</w:t>
      </w:r>
    </w:p>
    <w:p>
      <w:pPr>
        <w:pStyle w:val="NormalWeb"/>
        <w:spacing w:beforeAutospacing="0" w:before="0" w:afterAutospacing="0" w:after="0"/>
        <w:jc w:val="both"/>
        <w:rPr/>
      </w:pPr>
      <w:r>
        <w:rPr/>
        <w:t>- смета расходов на 2015 год;</w:t>
      </w:r>
    </w:p>
    <w:p>
      <w:pPr>
        <w:pStyle w:val="NormalWeb"/>
        <w:spacing w:beforeAutospacing="0" w:before="0" w:afterAutospacing="0" w:after="0"/>
        <w:jc w:val="both"/>
        <w:rPr>
          <w:color w:val="FF0000"/>
        </w:rPr>
      </w:pPr>
      <w:r>
        <w:rPr/>
        <w:t>- рабочий план счетов СНП «Северная жемчужина»;</w:t>
      </w:r>
    </w:p>
    <w:p>
      <w:pPr>
        <w:pStyle w:val="NormalWeb"/>
        <w:spacing w:beforeAutospacing="0" w:before="0" w:afterAutospacing="0" w:after="0"/>
        <w:ind w:left="-567" w:firstLine="567"/>
        <w:jc w:val="both"/>
        <w:rPr/>
      </w:pPr>
      <w:r>
        <w:rPr/>
        <w:t>- бухгалтерская (финансовая) отчетность СНП за 2015 год (баланс, Отчет о целевом использовании средств)</w:t>
      </w:r>
    </w:p>
    <w:p>
      <w:pPr>
        <w:pStyle w:val="NormalWeb"/>
        <w:spacing w:beforeAutospacing="0" w:before="0" w:afterAutospacing="0" w:after="0"/>
        <w:jc w:val="both"/>
        <w:rPr/>
      </w:pPr>
      <w:r>
        <w:rPr/>
        <w:t>- сведения о рублевых счетах в банках и иных кредитных учреждениях</w:t>
      </w:r>
    </w:p>
    <w:p>
      <w:pPr>
        <w:pStyle w:val="NormalWeb"/>
        <w:spacing w:beforeAutospacing="0" w:before="0" w:afterAutospacing="0" w:after="0"/>
        <w:jc w:val="both"/>
        <w:rPr/>
      </w:pPr>
      <w:r>
        <w:rPr/>
        <w:t>- выписки по счету 51 за проверяемый период;</w:t>
      </w:r>
    </w:p>
    <w:p>
      <w:pPr>
        <w:pStyle w:val="NormalWeb"/>
        <w:spacing w:beforeAutospacing="0" w:before="0" w:afterAutospacing="0" w:after="0"/>
        <w:jc w:val="both"/>
        <w:rPr/>
      </w:pPr>
      <w:r>
        <w:rPr/>
        <w:t>- расшифровка к счету 01 на отчетную дату;</w:t>
      </w:r>
    </w:p>
    <w:p>
      <w:pPr>
        <w:pStyle w:val="NormalWeb"/>
        <w:spacing w:beforeAutospacing="0" w:before="0" w:afterAutospacing="0" w:after="0"/>
        <w:ind w:left="-567" w:firstLine="567"/>
        <w:jc w:val="both"/>
        <w:rPr/>
      </w:pPr>
      <w:r>
        <w:rPr/>
        <w:t>- оборотно-сальдовые ведомости, карточки счетов из автоматизированной системы бухгалтерского учета 1С за проверяемый период;</w:t>
      </w:r>
    </w:p>
    <w:p>
      <w:pPr>
        <w:pStyle w:val="NormalWeb"/>
        <w:spacing w:beforeAutospacing="0" w:before="0" w:afterAutospacing="0" w:after="0"/>
        <w:jc w:val="both"/>
        <w:rPr/>
      </w:pPr>
      <w:r>
        <w:rPr/>
        <w:t>- штатное расписание  СНП «Северная жемчужина» на 2015 год;</w:t>
      </w:r>
    </w:p>
    <w:p>
      <w:pPr>
        <w:pStyle w:val="NormalWeb"/>
        <w:spacing w:beforeAutospacing="0" w:before="0" w:afterAutospacing="0" w:after="0"/>
        <w:jc w:val="both"/>
        <w:rPr/>
      </w:pPr>
      <w:r>
        <w:rPr/>
        <w:t>- расчетные ведомости по заработной плате за 2015 год;</w:t>
      </w:r>
    </w:p>
    <w:p>
      <w:pPr>
        <w:pStyle w:val="NormalWeb"/>
        <w:spacing w:beforeAutospacing="0" w:before="0" w:afterAutospacing="0" w:after="0"/>
        <w:ind w:left="-567" w:firstLine="567"/>
        <w:jc w:val="both"/>
        <w:rPr/>
      </w:pPr>
      <w:r>
        <w:rPr/>
        <w:t>- договоры с контрагентами, акты, товарные накладные, счета-фактуры, относящиеся к проверяемому периоду;</w:t>
      </w:r>
    </w:p>
    <w:p>
      <w:pPr>
        <w:pStyle w:val="NormalWeb"/>
        <w:spacing w:beforeAutospacing="0" w:before="0" w:afterAutospacing="0" w:after="0"/>
        <w:ind w:left="-567" w:firstLine="567"/>
        <w:jc w:val="both"/>
        <w:rPr/>
      </w:pPr>
      <w:r>
        <w:rPr/>
        <w:t>- Протоколы Общих собраний членов партнерства, заседаний Правления, протоколы заседаний Правления партнерства.</w:t>
      </w:r>
    </w:p>
    <w:p>
      <w:pPr>
        <w:pStyle w:val="NormalWeb"/>
        <w:spacing w:beforeAutospacing="0" w:before="0" w:afterAutospacing="0" w:after="0"/>
        <w:jc w:val="both"/>
        <w:rPr/>
      </w:pPr>
      <w:r>
        <w:rPr/>
      </w:r>
    </w:p>
    <w:p>
      <w:pPr>
        <w:pStyle w:val="NormalWeb"/>
        <w:spacing w:beforeAutospacing="0" w:before="0" w:afterAutospacing="0" w:after="0"/>
        <w:jc w:val="both"/>
        <w:rPr/>
      </w:pPr>
      <w:r>
        <w:rPr/>
      </w:r>
    </w:p>
    <w:p>
      <w:pPr>
        <w:pStyle w:val="NormalWeb"/>
        <w:numPr>
          <w:ilvl w:val="0"/>
          <w:numId w:val="2"/>
        </w:numPr>
        <w:spacing w:beforeAutospacing="0" w:before="0" w:afterAutospacing="0" w:after="0"/>
        <w:jc w:val="both"/>
        <w:rPr/>
      </w:pPr>
      <w:r>
        <w:rPr/>
        <w:t>Баланс СНП «Северная жемчужина».</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Баланс СНП «Северная Жемчужина» со сравнительными данными за предыдущие периоды приведен в Табл.1.</w:t>
      </w:r>
    </w:p>
    <w:p>
      <w:pPr>
        <w:pStyle w:val="NormalWeb"/>
        <w:spacing w:beforeAutospacing="0" w:before="0" w:afterAutospacing="0" w:after="0"/>
        <w:jc w:val="both"/>
        <w:rPr/>
      </w:pPr>
      <w:r>
        <w:rPr/>
      </w:r>
    </w:p>
    <w:p>
      <w:pPr>
        <w:pStyle w:val="NormalWeb"/>
        <w:spacing w:beforeAutospacing="0" w:before="0" w:afterAutospacing="0" w:after="0"/>
        <w:jc w:val="right"/>
        <w:rPr/>
      </w:pPr>
      <w:r>
        <w:rPr/>
        <w:t>Табл.1</w:t>
      </w:r>
    </w:p>
    <w:tbl>
      <w:tblPr>
        <w:tblW w:w="9849" w:type="dxa"/>
        <w:jc w:val="left"/>
        <w:tblInd w:w="93"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3840"/>
        <w:gridCol w:w="1682"/>
        <w:gridCol w:w="1483"/>
        <w:gridCol w:w="1422"/>
        <w:gridCol w:w="1422"/>
      </w:tblGrid>
      <w:tr>
        <w:trPr>
          <w:trHeight w:val="315" w:hRule="atLeast"/>
        </w:trPr>
        <w:tc>
          <w:tcPr>
            <w:tcW w:w="3840"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Статья</w:t>
            </w:r>
          </w:p>
        </w:tc>
        <w:tc>
          <w:tcPr>
            <w:tcW w:w="1682" w:type="dxa"/>
            <w:tcBorders>
              <w:bottom w:val="double" w:sz="6" w:space="0" w:color="00000A"/>
              <w:insideH w:val="double" w:sz="6" w:space="0" w:color="00000A"/>
            </w:tcBorders>
            <w:shd w:fill="auto" w:val="clear"/>
            <w:vAlign w:val="bottom"/>
          </w:tcPr>
          <w:p>
            <w:pPr>
              <w:pStyle w:val="Normal"/>
              <w:spacing w:lineRule="auto" w:line="240" w:before="0" w:after="0"/>
              <w:jc w:val="right"/>
              <w:rPr>
                <w:b/>
                <w:b/>
                <w:bCs/>
                <w:color w:val="000000"/>
                <w:lang w:eastAsia="ru-RU"/>
              </w:rPr>
            </w:pPr>
            <w:r>
              <w:rPr>
                <w:b/>
                <w:bCs/>
                <w:color w:val="000000"/>
                <w:lang w:eastAsia="ru-RU"/>
              </w:rPr>
              <w:t>31.12.2015</w:t>
            </w:r>
          </w:p>
        </w:tc>
        <w:tc>
          <w:tcPr>
            <w:tcW w:w="1483" w:type="dxa"/>
            <w:tcBorders>
              <w:bottom w:val="double" w:sz="6" w:space="0" w:color="00000A"/>
              <w:insideH w:val="double" w:sz="6" w:space="0" w:color="00000A"/>
            </w:tcBorders>
            <w:shd w:fill="auto" w:val="clear"/>
            <w:vAlign w:val="bottom"/>
          </w:tcPr>
          <w:p>
            <w:pPr>
              <w:pStyle w:val="Normal"/>
              <w:spacing w:lineRule="auto" w:line="240" w:before="0" w:after="0"/>
              <w:jc w:val="right"/>
              <w:rPr>
                <w:b/>
                <w:b/>
                <w:bCs/>
                <w:color w:val="000000"/>
                <w:lang w:eastAsia="ru-RU"/>
              </w:rPr>
            </w:pPr>
            <w:r>
              <w:rPr>
                <w:b/>
                <w:bCs/>
                <w:color w:val="000000"/>
                <w:lang w:eastAsia="ru-RU"/>
              </w:rPr>
              <w:t>31.12.2014</w:t>
            </w:r>
          </w:p>
        </w:tc>
        <w:tc>
          <w:tcPr>
            <w:tcW w:w="1422" w:type="dxa"/>
            <w:tcBorders>
              <w:bottom w:val="double" w:sz="6" w:space="0" w:color="00000A"/>
              <w:insideH w:val="double" w:sz="6" w:space="0" w:color="00000A"/>
            </w:tcBorders>
            <w:shd w:fill="auto" w:val="clear"/>
            <w:vAlign w:val="bottom"/>
          </w:tcPr>
          <w:p>
            <w:pPr>
              <w:pStyle w:val="Normal"/>
              <w:spacing w:lineRule="auto" w:line="240" w:before="0" w:after="0"/>
              <w:jc w:val="right"/>
              <w:rPr>
                <w:b/>
                <w:b/>
                <w:bCs/>
                <w:color w:val="000000"/>
                <w:lang w:eastAsia="ru-RU"/>
              </w:rPr>
            </w:pPr>
            <w:r>
              <w:rPr>
                <w:b/>
                <w:bCs/>
                <w:color w:val="000000"/>
                <w:lang w:eastAsia="ru-RU"/>
              </w:rPr>
              <w:t>31.12.2013</w:t>
            </w:r>
          </w:p>
        </w:tc>
        <w:tc>
          <w:tcPr>
            <w:tcW w:w="1422" w:type="dxa"/>
            <w:tcBorders>
              <w:bottom w:val="double" w:sz="6" w:space="0" w:color="00000A"/>
              <w:insideH w:val="double" w:sz="6" w:space="0" w:color="00000A"/>
            </w:tcBorders>
            <w:shd w:fill="auto" w:val="clear"/>
            <w:vAlign w:val="bottom"/>
          </w:tcPr>
          <w:p>
            <w:pPr>
              <w:pStyle w:val="Normal"/>
              <w:spacing w:lineRule="auto" w:line="240" w:before="0" w:after="0"/>
              <w:jc w:val="right"/>
              <w:rPr>
                <w:b/>
                <w:b/>
                <w:bCs/>
                <w:color w:val="000000"/>
                <w:lang w:eastAsia="ru-RU"/>
              </w:rPr>
            </w:pPr>
            <w:r>
              <w:rPr>
                <w:b/>
                <w:bCs/>
                <w:color w:val="000000"/>
                <w:lang w:eastAsia="ru-RU"/>
              </w:rPr>
              <w:t>31.12.2012</w:t>
            </w:r>
          </w:p>
        </w:tc>
      </w:tr>
      <w:tr>
        <w:trPr>
          <w:trHeight w:val="315" w:hRule="atLeast"/>
        </w:trPr>
        <w:tc>
          <w:tcPr>
            <w:tcW w:w="3840" w:type="dxa"/>
            <w:tcBorders/>
            <w:shd w:fill="auto" w:val="clear"/>
            <w:vAlign w:val="bottom"/>
          </w:tcPr>
          <w:p>
            <w:pPr>
              <w:pStyle w:val="Normal"/>
              <w:spacing w:lineRule="auto" w:line="240" w:before="0" w:after="0"/>
              <w:rPr>
                <w:i/>
                <w:i/>
                <w:iCs/>
                <w:color w:val="000000"/>
                <w:lang w:eastAsia="ru-RU"/>
              </w:rPr>
            </w:pPr>
            <w:r>
              <w:rPr>
                <w:i/>
                <w:iCs/>
                <w:color w:val="000000"/>
                <w:lang w:eastAsia="ru-RU"/>
              </w:rPr>
              <w:t>Актив</w:t>
            </w:r>
          </w:p>
        </w:tc>
        <w:tc>
          <w:tcPr>
            <w:tcW w:w="1682" w:type="dxa"/>
            <w:tcBorders/>
            <w:shd w:fill="auto" w:val="clear"/>
            <w:vAlign w:val="bottom"/>
          </w:tcPr>
          <w:p>
            <w:pPr>
              <w:pStyle w:val="Normal"/>
              <w:spacing w:lineRule="auto" w:line="240" w:before="0" w:after="0"/>
              <w:jc w:val="center"/>
              <w:rPr>
                <w:color w:val="000000"/>
                <w:sz w:val="16"/>
                <w:szCs w:val="16"/>
                <w:lang w:eastAsia="ru-RU"/>
              </w:rPr>
            </w:pPr>
            <w:r>
              <w:rPr>
                <w:color w:val="000000"/>
                <w:sz w:val="16"/>
                <w:szCs w:val="16"/>
                <w:lang w:eastAsia="ru-RU"/>
              </w:rPr>
              <w:t>тыс.р</w:t>
            </w:r>
          </w:p>
        </w:tc>
        <w:tc>
          <w:tcPr>
            <w:tcW w:w="1483" w:type="dxa"/>
            <w:tcBorders/>
            <w:shd w:fill="auto" w:val="clear"/>
            <w:vAlign w:val="bottom"/>
          </w:tcPr>
          <w:p>
            <w:pPr>
              <w:pStyle w:val="Normal"/>
              <w:spacing w:lineRule="auto" w:line="240" w:before="0" w:after="0"/>
              <w:jc w:val="center"/>
              <w:rPr>
                <w:color w:val="000000"/>
                <w:sz w:val="16"/>
                <w:szCs w:val="16"/>
                <w:lang w:eastAsia="ru-RU"/>
              </w:rPr>
            </w:pPr>
            <w:r>
              <w:rPr>
                <w:color w:val="000000"/>
                <w:sz w:val="16"/>
                <w:szCs w:val="16"/>
                <w:lang w:eastAsia="ru-RU"/>
              </w:rPr>
              <w:t>тыс.р</w:t>
            </w:r>
          </w:p>
        </w:tc>
        <w:tc>
          <w:tcPr>
            <w:tcW w:w="1422" w:type="dxa"/>
            <w:tcBorders/>
            <w:shd w:fill="auto" w:val="clear"/>
            <w:vAlign w:val="bottom"/>
          </w:tcPr>
          <w:p>
            <w:pPr>
              <w:pStyle w:val="Normal"/>
              <w:spacing w:lineRule="auto" w:line="240" w:before="0" w:after="0"/>
              <w:jc w:val="center"/>
              <w:rPr>
                <w:color w:val="000000"/>
                <w:sz w:val="16"/>
                <w:szCs w:val="16"/>
                <w:lang w:eastAsia="ru-RU"/>
              </w:rPr>
            </w:pPr>
            <w:r>
              <w:rPr>
                <w:color w:val="000000"/>
                <w:sz w:val="16"/>
                <w:szCs w:val="16"/>
                <w:lang w:eastAsia="ru-RU"/>
              </w:rPr>
              <w:t>тыс.р</w:t>
            </w:r>
          </w:p>
        </w:tc>
        <w:tc>
          <w:tcPr>
            <w:tcW w:w="1422" w:type="dxa"/>
            <w:tcBorders/>
            <w:shd w:fill="auto" w:val="clear"/>
            <w:vAlign w:val="bottom"/>
          </w:tcPr>
          <w:p>
            <w:pPr>
              <w:pStyle w:val="Normal"/>
              <w:spacing w:lineRule="auto" w:line="240" w:before="0" w:after="0"/>
              <w:jc w:val="center"/>
              <w:rPr>
                <w:color w:val="000000"/>
                <w:sz w:val="16"/>
                <w:szCs w:val="16"/>
                <w:lang w:eastAsia="ru-RU"/>
              </w:rPr>
            </w:pPr>
            <w:r>
              <w:rPr>
                <w:color w:val="000000"/>
                <w:sz w:val="16"/>
                <w:szCs w:val="16"/>
                <w:lang w:eastAsia="ru-RU"/>
              </w:rPr>
              <w:t>тыс.р</w:t>
            </w:r>
          </w:p>
        </w:tc>
      </w:tr>
      <w:tr>
        <w:trPr>
          <w:trHeight w:val="300" w:hRule="atLeast"/>
        </w:trPr>
        <w:tc>
          <w:tcPr>
            <w:tcW w:w="3840"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Материальные внеоборотные активы (Прим.2)</w:t>
            </w:r>
          </w:p>
        </w:tc>
        <w:tc>
          <w:tcPr>
            <w:tcW w:w="168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60 731 </w:t>
            </w:r>
          </w:p>
        </w:tc>
        <w:tc>
          <w:tcPr>
            <w:tcW w:w="1483"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1 376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1 376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1 376 </w:t>
            </w:r>
          </w:p>
        </w:tc>
      </w:tr>
      <w:tr>
        <w:trPr>
          <w:trHeight w:val="300" w:hRule="atLeast"/>
        </w:trPr>
        <w:tc>
          <w:tcPr>
            <w:tcW w:w="3840"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Запасы (Прим.3)</w:t>
            </w:r>
          </w:p>
        </w:tc>
        <w:tc>
          <w:tcPr>
            <w:tcW w:w="168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9 713 </w:t>
            </w:r>
          </w:p>
        </w:tc>
        <w:tc>
          <w:tcPr>
            <w:tcW w:w="1483"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2 849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1 736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836 </w:t>
            </w:r>
          </w:p>
        </w:tc>
      </w:tr>
      <w:tr>
        <w:trPr>
          <w:trHeight w:val="300" w:hRule="atLeast"/>
        </w:trPr>
        <w:tc>
          <w:tcPr>
            <w:tcW w:w="3840"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Денежные средства (Прим.4)</w:t>
            </w:r>
          </w:p>
        </w:tc>
        <w:tc>
          <w:tcPr>
            <w:tcW w:w="168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5 952 </w:t>
            </w:r>
          </w:p>
        </w:tc>
        <w:tc>
          <w:tcPr>
            <w:tcW w:w="1483"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4 009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13 512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9 727 </w:t>
            </w:r>
          </w:p>
        </w:tc>
      </w:tr>
      <w:tr>
        <w:trPr>
          <w:trHeight w:val="300" w:hRule="atLeast"/>
        </w:trPr>
        <w:tc>
          <w:tcPr>
            <w:tcW w:w="3840"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Оборотные активы (Прим.5)</w:t>
            </w:r>
          </w:p>
        </w:tc>
        <w:tc>
          <w:tcPr>
            <w:tcW w:w="168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385 366 </w:t>
            </w:r>
          </w:p>
        </w:tc>
        <w:tc>
          <w:tcPr>
            <w:tcW w:w="1483"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314 693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263 182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128 501 </w:t>
            </w:r>
          </w:p>
        </w:tc>
      </w:tr>
      <w:tr>
        <w:trPr>
          <w:trHeight w:val="300" w:hRule="atLeast"/>
        </w:trPr>
        <w:tc>
          <w:tcPr>
            <w:tcW w:w="3840"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Баланс</w:t>
            </w:r>
          </w:p>
        </w:tc>
        <w:tc>
          <w:tcPr>
            <w:tcW w:w="1682"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 xml:space="preserve">                  </w:t>
            </w:r>
            <w:r>
              <w:rPr>
                <w:b/>
                <w:bCs/>
                <w:color w:val="000000"/>
                <w:sz w:val="18"/>
                <w:szCs w:val="18"/>
                <w:lang w:eastAsia="ru-RU"/>
              </w:rPr>
              <w:t>461 762</w:t>
            </w:r>
          </w:p>
        </w:tc>
        <w:tc>
          <w:tcPr>
            <w:tcW w:w="1483"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 xml:space="preserve">              </w:t>
            </w:r>
            <w:r>
              <w:rPr>
                <w:b/>
                <w:bCs/>
                <w:color w:val="000000"/>
                <w:sz w:val="18"/>
                <w:szCs w:val="18"/>
                <w:lang w:eastAsia="ru-RU"/>
              </w:rPr>
              <w:t xml:space="preserve">322 927 </w:t>
            </w:r>
          </w:p>
        </w:tc>
        <w:tc>
          <w:tcPr>
            <w:tcW w:w="1422"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 xml:space="preserve">             </w:t>
            </w:r>
            <w:r>
              <w:rPr>
                <w:b/>
                <w:bCs/>
                <w:color w:val="000000"/>
                <w:sz w:val="18"/>
                <w:szCs w:val="18"/>
                <w:lang w:eastAsia="ru-RU"/>
              </w:rPr>
              <w:t xml:space="preserve">279 806 </w:t>
            </w:r>
          </w:p>
        </w:tc>
        <w:tc>
          <w:tcPr>
            <w:tcW w:w="1422"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 xml:space="preserve">             </w:t>
            </w:r>
            <w:r>
              <w:rPr>
                <w:b/>
                <w:bCs/>
                <w:color w:val="000000"/>
                <w:sz w:val="18"/>
                <w:szCs w:val="18"/>
                <w:lang w:eastAsia="ru-RU"/>
              </w:rPr>
              <w:t xml:space="preserve">140 440 </w:t>
            </w:r>
          </w:p>
        </w:tc>
      </w:tr>
      <w:tr>
        <w:trPr>
          <w:trHeight w:val="300" w:hRule="atLeast"/>
        </w:trPr>
        <w:tc>
          <w:tcPr>
            <w:tcW w:w="3840" w:type="dxa"/>
            <w:tcBorders/>
            <w:shd w:fill="auto" w:val="clear"/>
            <w:vAlign w:val="bottom"/>
          </w:tcPr>
          <w:p>
            <w:pPr>
              <w:pStyle w:val="Normal"/>
              <w:spacing w:lineRule="auto" w:line="240" w:before="0" w:after="0"/>
              <w:rPr>
                <w:i/>
                <w:i/>
                <w:iCs/>
                <w:color w:val="000000"/>
                <w:sz w:val="18"/>
                <w:szCs w:val="18"/>
                <w:lang w:eastAsia="ru-RU"/>
              </w:rPr>
            </w:pPr>
            <w:r>
              <w:rPr>
                <w:i/>
                <w:iCs/>
                <w:color w:val="000000"/>
                <w:sz w:val="18"/>
                <w:szCs w:val="18"/>
                <w:lang w:eastAsia="ru-RU"/>
              </w:rPr>
              <w:t>Пассив</w:t>
            </w:r>
          </w:p>
        </w:tc>
        <w:tc>
          <w:tcPr>
            <w:tcW w:w="1682" w:type="dxa"/>
            <w:tcBorders/>
            <w:shd w:fill="auto" w:val="clear"/>
            <w:vAlign w:val="bottom"/>
          </w:tcPr>
          <w:p>
            <w:pPr>
              <w:pStyle w:val="Normal"/>
              <w:spacing w:lineRule="auto" w:line="240" w:before="0" w:after="0"/>
              <w:rPr>
                <w:i/>
                <w:i/>
                <w:iCs/>
                <w:color w:val="000000"/>
                <w:sz w:val="18"/>
                <w:szCs w:val="18"/>
                <w:lang w:eastAsia="ru-RU"/>
              </w:rPr>
            </w:pPr>
            <w:r>
              <w:rPr>
                <w:i/>
                <w:iCs/>
                <w:color w:val="000000"/>
                <w:sz w:val="18"/>
                <w:szCs w:val="18"/>
                <w:lang w:eastAsia="ru-RU"/>
              </w:rPr>
            </w:r>
          </w:p>
        </w:tc>
        <w:tc>
          <w:tcPr>
            <w:tcW w:w="1483"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r>
          </w:p>
        </w:tc>
      </w:tr>
      <w:tr>
        <w:trPr>
          <w:trHeight w:val="300" w:hRule="atLeast"/>
        </w:trPr>
        <w:tc>
          <w:tcPr>
            <w:tcW w:w="3840"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Капитал и резервы (Прим.11)</w:t>
            </w:r>
          </w:p>
        </w:tc>
        <w:tc>
          <w:tcPr>
            <w:tcW w:w="168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8 306 </w:t>
            </w:r>
          </w:p>
        </w:tc>
        <w:tc>
          <w:tcPr>
            <w:tcW w:w="1483"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(35)</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r>
          </w:p>
        </w:tc>
      </w:tr>
      <w:tr>
        <w:trPr>
          <w:trHeight w:val="300" w:hRule="atLeast"/>
        </w:trPr>
        <w:tc>
          <w:tcPr>
            <w:tcW w:w="3840"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Кредиторская задолженность (Прим.12)</w:t>
            </w:r>
          </w:p>
        </w:tc>
        <w:tc>
          <w:tcPr>
            <w:tcW w:w="168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89 094 </w:t>
            </w:r>
          </w:p>
        </w:tc>
        <w:tc>
          <w:tcPr>
            <w:tcW w:w="1483"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22 845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13 554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4 459 </w:t>
            </w:r>
          </w:p>
        </w:tc>
      </w:tr>
      <w:tr>
        <w:trPr>
          <w:trHeight w:val="300" w:hRule="atLeast"/>
        </w:trPr>
        <w:tc>
          <w:tcPr>
            <w:tcW w:w="3840"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Другие краткосрочные обязательства (Прим.13)</w:t>
            </w:r>
          </w:p>
        </w:tc>
        <w:tc>
          <w:tcPr>
            <w:tcW w:w="168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364 361 </w:t>
            </w:r>
          </w:p>
        </w:tc>
        <w:tc>
          <w:tcPr>
            <w:tcW w:w="1483"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300 117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266 251 </w:t>
            </w:r>
          </w:p>
        </w:tc>
        <w:tc>
          <w:tcPr>
            <w:tcW w:w="1422"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xml:space="preserve">135 981 </w:t>
            </w:r>
          </w:p>
        </w:tc>
      </w:tr>
      <w:tr>
        <w:trPr>
          <w:trHeight w:val="300" w:hRule="atLeast"/>
        </w:trPr>
        <w:tc>
          <w:tcPr>
            <w:tcW w:w="3840"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Баланс</w:t>
            </w:r>
          </w:p>
        </w:tc>
        <w:tc>
          <w:tcPr>
            <w:tcW w:w="1682"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 xml:space="preserve">                  </w:t>
            </w:r>
            <w:r>
              <w:rPr>
                <w:b/>
                <w:bCs/>
                <w:color w:val="000000"/>
                <w:sz w:val="18"/>
                <w:szCs w:val="18"/>
                <w:lang w:eastAsia="ru-RU"/>
              </w:rPr>
              <w:t xml:space="preserve">461 761 </w:t>
            </w:r>
          </w:p>
        </w:tc>
        <w:tc>
          <w:tcPr>
            <w:tcW w:w="1483"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 xml:space="preserve">              </w:t>
            </w:r>
            <w:r>
              <w:rPr>
                <w:b/>
                <w:bCs/>
                <w:color w:val="000000"/>
                <w:sz w:val="18"/>
                <w:szCs w:val="18"/>
                <w:lang w:eastAsia="ru-RU"/>
              </w:rPr>
              <w:t xml:space="preserve">322 927 </w:t>
            </w:r>
          </w:p>
        </w:tc>
        <w:tc>
          <w:tcPr>
            <w:tcW w:w="1422"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 xml:space="preserve">             </w:t>
            </w:r>
            <w:r>
              <w:rPr>
                <w:b/>
                <w:bCs/>
                <w:color w:val="000000"/>
                <w:sz w:val="18"/>
                <w:szCs w:val="18"/>
                <w:lang w:eastAsia="ru-RU"/>
              </w:rPr>
              <w:t xml:space="preserve">279 805 </w:t>
            </w:r>
          </w:p>
        </w:tc>
        <w:tc>
          <w:tcPr>
            <w:tcW w:w="1422" w:type="dxa"/>
            <w:tcBorders/>
            <w:shd w:fill="auto" w:val="clear"/>
            <w:vAlign w:val="bottom"/>
          </w:tcPr>
          <w:p>
            <w:pPr>
              <w:pStyle w:val="Normal"/>
              <w:spacing w:lineRule="auto" w:line="240" w:before="0" w:after="0"/>
              <w:rPr>
                <w:b/>
                <w:b/>
                <w:bCs/>
                <w:color w:val="000000"/>
                <w:sz w:val="18"/>
                <w:szCs w:val="18"/>
                <w:lang w:eastAsia="ru-RU"/>
              </w:rPr>
            </w:pPr>
            <w:r>
              <w:rPr>
                <w:b/>
                <w:bCs/>
                <w:color w:val="000000"/>
                <w:sz w:val="18"/>
                <w:szCs w:val="18"/>
                <w:lang w:eastAsia="ru-RU"/>
              </w:rPr>
              <w:t xml:space="preserve">             </w:t>
            </w:r>
            <w:r>
              <w:rPr>
                <w:b/>
                <w:bCs/>
                <w:color w:val="000000"/>
                <w:sz w:val="18"/>
                <w:szCs w:val="18"/>
                <w:lang w:eastAsia="ru-RU"/>
              </w:rPr>
              <w:t xml:space="preserve">140 440 </w:t>
            </w:r>
          </w:p>
        </w:tc>
      </w:tr>
    </w:tbl>
    <w:p>
      <w:pPr>
        <w:pStyle w:val="NormalWeb"/>
        <w:spacing w:beforeAutospacing="0" w:before="0" w:afterAutospacing="0" w:after="0"/>
        <w:jc w:val="both"/>
        <w:rPr>
          <w:sz w:val="18"/>
          <w:szCs w:val="18"/>
        </w:rPr>
      </w:pPr>
      <w:r>
        <w:rPr>
          <w:sz w:val="18"/>
          <w:szCs w:val="18"/>
        </w:rPr>
      </w:r>
    </w:p>
    <w:p>
      <w:pPr>
        <w:pStyle w:val="NormalWeb"/>
        <w:spacing w:beforeAutospacing="0" w:before="0" w:afterAutospacing="0" w:after="0"/>
        <w:ind w:left="720" w:hanging="0"/>
        <w:jc w:val="both"/>
        <w:rPr/>
      </w:pPr>
      <w:r>
        <w:rPr/>
      </w:r>
    </w:p>
    <w:p>
      <w:pPr>
        <w:pStyle w:val="NormalWeb"/>
        <w:numPr>
          <w:ilvl w:val="0"/>
          <w:numId w:val="2"/>
        </w:numPr>
        <w:spacing w:beforeAutospacing="0" w:before="0" w:afterAutospacing="0" w:after="0"/>
        <w:jc w:val="both"/>
        <w:rPr/>
      </w:pPr>
      <w:r>
        <w:rPr/>
        <w:t>Материальные внеоборотные активы</w:t>
      </w:r>
    </w:p>
    <w:p>
      <w:pPr>
        <w:pStyle w:val="NormalWeb"/>
        <w:spacing w:beforeAutospacing="0" w:before="0" w:afterAutospacing="0" w:after="0"/>
        <w:jc w:val="both"/>
        <w:rPr/>
      </w:pPr>
      <w:r>
        <w:rPr/>
      </w:r>
    </w:p>
    <w:p>
      <w:pPr>
        <w:pStyle w:val="NormalWeb"/>
        <w:spacing w:beforeAutospacing="0" w:before="0" w:afterAutospacing="0" w:after="0"/>
        <w:jc w:val="both"/>
        <w:rPr/>
      </w:pPr>
      <w:r>
        <w:rPr/>
        <w:t xml:space="preserve">     </w:t>
      </w:r>
      <w:r>
        <w:rPr/>
        <w:t>Материальные внеоборотные активы состоят из основных средств и незавершенных капитальных вложений. Денежная оценка данных статей представлены в Табл. 2</w:t>
      </w:r>
    </w:p>
    <w:p>
      <w:pPr>
        <w:pStyle w:val="NormalWeb"/>
        <w:spacing w:beforeAutospacing="0" w:before="0" w:afterAutospacing="0" w:after="0"/>
        <w:jc w:val="both"/>
        <w:rPr/>
      </w:pPr>
      <w:r>
        <w:rPr/>
      </w:r>
    </w:p>
    <w:p>
      <w:pPr>
        <w:pStyle w:val="NormalWeb"/>
        <w:spacing w:beforeAutospacing="0" w:before="0" w:afterAutospacing="0" w:after="0"/>
        <w:jc w:val="right"/>
        <w:rPr/>
      </w:pPr>
      <w:r>
        <w:rPr/>
        <w:t>Табл.2</w:t>
      </w:r>
    </w:p>
    <w:p>
      <w:pPr>
        <w:pStyle w:val="NormalWeb"/>
        <w:spacing w:beforeAutospacing="0" w:before="0" w:afterAutospacing="0" w:after="0"/>
        <w:jc w:val="both"/>
        <w:rPr/>
      </w:pPr>
      <w:r>
        <w:rPr/>
      </w:r>
    </w:p>
    <w:p>
      <w:pPr>
        <w:pStyle w:val="NormalWeb"/>
        <w:spacing w:beforeAutospacing="0" w:before="0" w:afterAutospacing="0" w:after="0"/>
        <w:ind w:left="720" w:hanging="0"/>
        <w:jc w:val="both"/>
        <w:rPr/>
      </w:pPr>
      <w:r>
        <w:rPr/>
      </w:r>
    </w:p>
    <w:tbl>
      <w:tblPr>
        <w:tblW w:w="7670" w:type="dxa"/>
        <w:jc w:val="left"/>
        <w:tblInd w:w="93" w:type="dxa"/>
        <w:tblBorders/>
        <w:tblCellMar>
          <w:top w:w="0" w:type="dxa"/>
          <w:left w:w="108" w:type="dxa"/>
          <w:bottom w:w="0" w:type="dxa"/>
          <w:right w:w="108" w:type="dxa"/>
        </w:tblCellMar>
        <w:tblLook w:noVBand="0" w:val="00a0" w:noHBand="0" w:lastColumn="0" w:firstColumn="1" w:lastRow="0" w:firstRow="1"/>
      </w:tblPr>
      <w:tblGrid>
        <w:gridCol w:w="4693"/>
        <w:gridCol w:w="787"/>
        <w:gridCol w:w="2190"/>
      </w:tblGrid>
      <w:tr>
        <w:trPr>
          <w:trHeight w:val="300" w:hRule="atLeast"/>
        </w:trPr>
        <w:tc>
          <w:tcPr>
            <w:tcW w:w="4693" w:type="dxa"/>
            <w:tcBorders/>
            <w:shd w:fill="auto" w:val="clear"/>
            <w:vAlign w:val="bottom"/>
          </w:tcPr>
          <w:p>
            <w:pPr>
              <w:pStyle w:val="Normal"/>
              <w:spacing w:lineRule="auto" w:line="240" w:before="0" w:after="0"/>
              <w:rPr>
                <w:color w:val="000000"/>
                <w:lang w:eastAsia="ru-RU"/>
              </w:rPr>
            </w:pPr>
            <w:r>
              <w:rPr>
                <w:color w:val="000000"/>
                <w:lang w:eastAsia="ru-RU"/>
              </w:rPr>
              <w:t>Материальные внеоборотные активы, руб,</w:t>
            </w:r>
          </w:p>
          <w:p>
            <w:pPr>
              <w:pStyle w:val="Normal"/>
              <w:spacing w:lineRule="auto" w:line="240" w:before="0" w:after="0"/>
              <w:rPr>
                <w:color w:val="000000"/>
                <w:lang w:eastAsia="ru-RU"/>
              </w:rPr>
            </w:pPr>
            <w:r>
              <w:rPr>
                <w:color w:val="000000"/>
                <w:lang w:eastAsia="ru-RU"/>
              </w:rPr>
              <w:t>в т.ч.</w:t>
            </w:r>
          </w:p>
        </w:tc>
        <w:tc>
          <w:tcPr>
            <w:tcW w:w="787" w:type="dxa"/>
            <w:tcBorders/>
            <w:shd w:fill="auto" w:val="clear"/>
            <w:vAlign w:val="bottom"/>
          </w:tcPr>
          <w:p>
            <w:pPr>
              <w:pStyle w:val="Normal"/>
              <w:spacing w:lineRule="auto" w:line="240" w:before="0" w:after="0"/>
              <w:rPr>
                <w:color w:val="000000"/>
                <w:lang w:eastAsia="ru-RU"/>
              </w:rPr>
            </w:pPr>
            <w:r>
              <w:rPr>
                <w:color w:val="000000"/>
                <w:lang w:eastAsia="ru-RU"/>
              </w:rPr>
            </w:r>
          </w:p>
        </w:tc>
        <w:tc>
          <w:tcPr>
            <w:tcW w:w="2190" w:type="dxa"/>
            <w:tcBorders/>
            <w:shd w:fill="auto" w:val="clear"/>
            <w:vAlign w:val="bottom"/>
          </w:tcPr>
          <w:p>
            <w:pPr>
              <w:pStyle w:val="Normal"/>
              <w:spacing w:lineRule="auto" w:line="240" w:before="0" w:after="0"/>
              <w:jc w:val="right"/>
              <w:rPr>
                <w:b/>
                <w:b/>
                <w:bCs/>
                <w:color w:val="000000"/>
                <w:lang w:eastAsia="ru-RU"/>
              </w:rPr>
            </w:pPr>
            <w:r>
              <w:rPr>
                <w:b/>
                <w:bCs/>
                <w:color w:val="000000"/>
                <w:lang w:eastAsia="ru-RU"/>
              </w:rPr>
              <w:t>60 730 635.79</w:t>
            </w:r>
          </w:p>
        </w:tc>
      </w:tr>
      <w:tr>
        <w:trPr>
          <w:trHeight w:val="300" w:hRule="atLeast"/>
        </w:trPr>
        <w:tc>
          <w:tcPr>
            <w:tcW w:w="4693" w:type="dxa"/>
            <w:tcBorders/>
            <w:shd w:fill="auto" w:val="clear"/>
            <w:vAlign w:val="bottom"/>
          </w:tcPr>
          <w:p>
            <w:pPr>
              <w:pStyle w:val="Normal"/>
              <w:spacing w:lineRule="auto" w:line="240" w:before="0" w:after="0"/>
              <w:rPr>
                <w:color w:val="000000"/>
                <w:lang w:eastAsia="ru-RU"/>
              </w:rPr>
            </w:pPr>
            <w:r>
              <w:rPr>
                <w:color w:val="000000"/>
                <w:lang w:eastAsia="ru-RU"/>
              </w:rPr>
              <w:t>Основные средства</w:t>
            </w:r>
          </w:p>
        </w:tc>
        <w:tc>
          <w:tcPr>
            <w:tcW w:w="787" w:type="dxa"/>
            <w:tcBorders/>
            <w:shd w:fill="auto" w:val="clear"/>
            <w:vAlign w:val="bottom"/>
          </w:tcPr>
          <w:p>
            <w:pPr>
              <w:pStyle w:val="Normal"/>
              <w:spacing w:lineRule="auto" w:line="240" w:before="0" w:after="0"/>
              <w:rPr>
                <w:color w:val="000000"/>
                <w:lang w:eastAsia="ru-RU"/>
              </w:rPr>
            </w:pPr>
            <w:r>
              <w:rPr>
                <w:color w:val="000000"/>
                <w:lang w:eastAsia="ru-RU"/>
              </w:rPr>
            </w:r>
          </w:p>
        </w:tc>
        <w:tc>
          <w:tcPr>
            <w:tcW w:w="2190" w:type="dxa"/>
            <w:tcBorders/>
            <w:shd w:fill="auto" w:val="clear"/>
            <w:vAlign w:val="bottom"/>
          </w:tcPr>
          <w:p>
            <w:pPr>
              <w:pStyle w:val="Normal"/>
              <w:spacing w:lineRule="auto" w:line="240" w:before="0" w:after="0"/>
              <w:jc w:val="right"/>
              <w:rPr>
                <w:color w:val="000000"/>
                <w:lang w:eastAsia="ru-RU"/>
              </w:rPr>
            </w:pPr>
            <w:r>
              <w:rPr>
                <w:color w:val="000000"/>
                <w:lang w:eastAsia="ru-RU"/>
              </w:rPr>
              <w:t>9 779 465.79</w:t>
            </w:r>
          </w:p>
        </w:tc>
      </w:tr>
      <w:tr>
        <w:trPr>
          <w:trHeight w:val="300" w:hRule="atLeast"/>
        </w:trPr>
        <w:tc>
          <w:tcPr>
            <w:tcW w:w="4693" w:type="dxa"/>
            <w:tcBorders/>
            <w:shd w:fill="auto" w:val="clear"/>
            <w:vAlign w:val="bottom"/>
          </w:tcPr>
          <w:p>
            <w:pPr>
              <w:pStyle w:val="Normal"/>
              <w:spacing w:lineRule="auto" w:line="240" w:before="0" w:after="0"/>
              <w:rPr>
                <w:color w:val="000000"/>
                <w:lang w:eastAsia="ru-RU"/>
              </w:rPr>
            </w:pPr>
            <w:r>
              <w:rPr>
                <w:color w:val="000000"/>
                <w:lang w:eastAsia="ru-RU"/>
              </w:rPr>
              <w:t>Капитальные вложения</w:t>
            </w:r>
          </w:p>
        </w:tc>
        <w:tc>
          <w:tcPr>
            <w:tcW w:w="787" w:type="dxa"/>
            <w:tcBorders/>
            <w:shd w:fill="auto" w:val="clear"/>
            <w:vAlign w:val="bottom"/>
          </w:tcPr>
          <w:p>
            <w:pPr>
              <w:pStyle w:val="Normal"/>
              <w:spacing w:lineRule="auto" w:line="240" w:before="0" w:after="0"/>
              <w:rPr>
                <w:color w:val="000000"/>
                <w:lang w:eastAsia="ru-RU"/>
              </w:rPr>
            </w:pPr>
            <w:r>
              <w:rPr>
                <w:color w:val="000000"/>
                <w:lang w:eastAsia="ru-RU"/>
              </w:rPr>
            </w:r>
          </w:p>
        </w:tc>
        <w:tc>
          <w:tcPr>
            <w:tcW w:w="2190" w:type="dxa"/>
            <w:tcBorders/>
            <w:shd w:fill="auto" w:val="clear"/>
            <w:vAlign w:val="bottom"/>
          </w:tcPr>
          <w:p>
            <w:pPr>
              <w:pStyle w:val="Normal"/>
              <w:spacing w:lineRule="auto" w:line="240" w:before="0" w:after="0"/>
              <w:jc w:val="right"/>
              <w:rPr>
                <w:color w:val="000000"/>
                <w:lang w:eastAsia="ru-RU"/>
              </w:rPr>
            </w:pPr>
            <w:r>
              <w:rPr>
                <w:color w:val="000000"/>
                <w:lang w:eastAsia="ru-RU"/>
              </w:rPr>
              <w:t>50 951 170.00</w:t>
            </w:r>
          </w:p>
        </w:tc>
      </w:tr>
    </w:tbl>
    <w:p>
      <w:pPr>
        <w:pStyle w:val="NormalWeb"/>
        <w:spacing w:beforeAutospacing="0" w:before="0" w:afterAutospacing="0" w:after="0"/>
        <w:ind w:left="720" w:hanging="0"/>
        <w:jc w:val="both"/>
        <w:rPr/>
      </w:pPr>
      <w:r>
        <w:rPr/>
      </w:r>
    </w:p>
    <w:p>
      <w:pPr>
        <w:pStyle w:val="NormalWeb"/>
        <w:spacing w:beforeAutospacing="0" w:before="0" w:afterAutospacing="0" w:after="0"/>
        <w:jc w:val="both"/>
        <w:rPr/>
      </w:pPr>
      <w:r>
        <w:rPr/>
        <w:t>Перечень основных средств представлен в Табл.3</w:t>
      </w:r>
    </w:p>
    <w:p>
      <w:pPr>
        <w:pStyle w:val="NormalWeb"/>
        <w:spacing w:beforeAutospacing="0" w:before="0" w:afterAutospacing="0" w:after="0"/>
        <w:jc w:val="both"/>
        <w:rPr/>
      </w:pPr>
      <w:r>
        <w:rPr/>
      </w:r>
    </w:p>
    <w:p>
      <w:pPr>
        <w:pStyle w:val="NormalWeb"/>
        <w:spacing w:beforeAutospacing="0" w:before="0" w:afterAutospacing="0" w:after="0"/>
        <w:jc w:val="right"/>
        <w:rPr/>
      </w:pPr>
      <w:r>
        <w:rPr/>
        <w:t>Табл.3</w:t>
      </w:r>
    </w:p>
    <w:tbl>
      <w:tblPr>
        <w:tblW w:w="9340" w:type="dxa"/>
        <w:jc w:val="left"/>
        <w:tblInd w:w="93"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440"/>
        <w:gridCol w:w="6805"/>
        <w:gridCol w:w="2095"/>
      </w:tblGrid>
      <w:tr>
        <w:trPr>
          <w:trHeight w:val="615" w:hRule="atLeast"/>
        </w:trPr>
        <w:tc>
          <w:tcPr>
            <w:tcW w:w="440" w:type="dxa"/>
            <w:tcBorders>
              <w:bottom w:val="double" w:sz="6" w:space="0" w:color="00000A"/>
              <w:insideH w:val="double" w:sz="6" w:space="0" w:color="00000A"/>
            </w:tcBorders>
            <w:shd w:fill="auto" w:val="clear"/>
            <w:vAlign w:val="bottom"/>
          </w:tcPr>
          <w:p>
            <w:pPr>
              <w:pStyle w:val="Normal"/>
              <w:spacing w:lineRule="auto" w:line="240" w:before="0" w:after="0"/>
              <w:rPr>
                <w:color w:val="000000"/>
                <w:lang w:eastAsia="ru-RU"/>
              </w:rPr>
            </w:pPr>
            <w:r>
              <w:rPr>
                <w:color w:val="000000"/>
                <w:lang w:eastAsia="ru-RU"/>
              </w:rPr>
              <w:t> </w:t>
            </w:r>
          </w:p>
        </w:tc>
        <w:tc>
          <w:tcPr>
            <w:tcW w:w="680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Основное средство</w:t>
            </w:r>
          </w:p>
        </w:tc>
        <w:tc>
          <w:tcPr>
            <w:tcW w:w="209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 xml:space="preserve"> </w:t>
            </w:r>
            <w:r>
              <w:rPr>
                <w:b/>
                <w:bCs/>
                <w:color w:val="000000"/>
                <w:lang w:eastAsia="ru-RU"/>
              </w:rPr>
              <w:t xml:space="preserve">Балансовая стоимость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1</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Генератор Honda EG4500 CX , 02-000003</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101 000.00   </w:t>
            </w:r>
          </w:p>
        </w:tc>
      </w:tr>
      <w:tr>
        <w:trPr>
          <w:trHeight w:val="45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2</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Ресанта Стабилизатор трехфазный АСН-30000/3-Ц 63/4/18, 02-000004</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55 180.00   </w:t>
            </w:r>
          </w:p>
        </w:tc>
      </w:tr>
      <w:tr>
        <w:trPr>
          <w:trHeight w:val="315"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3</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Автомобиль УАЗ-315196 АВАНТЮРИН МЕТАЛЛИК VIN XTT, 00000012</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412 000.00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4</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Бытовка метал. утепленная 2.3*6м, цвет белый, нов., 00000009</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60 000.00   </w:t>
            </w:r>
          </w:p>
        </w:tc>
      </w:tr>
      <w:tr>
        <w:trPr>
          <w:trHeight w:val="315"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5</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Бытовка металлическая 2.3*6м, цвет серый, б/у, 00000010</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50 000.00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6</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Генератор Honda EG4500 CX RG, 00000011</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63 365.00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7</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Дизель-генератор JBC G22QX (LLI5974/1), 00000007</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419 282.32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8</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Здание охраны, 00-000008</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2 150 000.00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9</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Здание правления, 00-000009</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6 000 000.00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10</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Котел LOGANO G125-25 WS, 00000015</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45 534.21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11</w:t>
            </w:r>
          </w:p>
        </w:tc>
        <w:tc>
          <w:tcPr>
            <w:tcW w:w="6805" w:type="dxa"/>
            <w:tcBorders/>
            <w:shd w:fill="auto" w:val="clear"/>
            <w:vAlign w:val="bottom"/>
          </w:tcPr>
          <w:p>
            <w:pPr>
              <w:pStyle w:val="Normal"/>
              <w:spacing w:lineRule="auto" w:line="240" w:before="0" w:after="0"/>
              <w:rPr>
                <w:color w:val="000000"/>
                <w:lang w:val="en-US" w:eastAsia="ru-RU"/>
              </w:rPr>
            </w:pPr>
            <w:r>
              <w:rPr>
                <w:color w:val="000000"/>
                <w:lang w:eastAsia="ru-RU"/>
              </w:rPr>
              <w:t>Ноутбук</w:t>
            </w:r>
            <w:r>
              <w:rPr>
                <w:color w:val="000000"/>
                <w:lang w:val="en-US" w:eastAsia="ru-RU"/>
              </w:rPr>
              <w:t xml:space="preserve"> MacBook Air MC5041RS/A 13" Core 2 Duo 2.13, 00000005</w:t>
            </w:r>
          </w:p>
        </w:tc>
        <w:tc>
          <w:tcPr>
            <w:tcW w:w="2095" w:type="dxa"/>
            <w:tcBorders/>
            <w:shd w:fill="auto" w:val="clear"/>
            <w:vAlign w:val="bottom"/>
          </w:tcPr>
          <w:p>
            <w:pPr>
              <w:pStyle w:val="Normal"/>
              <w:spacing w:lineRule="auto" w:line="240" w:before="0" w:after="0"/>
              <w:rPr>
                <w:color w:val="000000"/>
                <w:lang w:eastAsia="ru-RU"/>
              </w:rPr>
            </w:pPr>
            <w:r>
              <w:rPr>
                <w:color w:val="000000"/>
                <w:lang w:val="en-US" w:eastAsia="ru-RU"/>
              </w:rPr>
              <w:t xml:space="preserve">           </w:t>
            </w:r>
            <w:r>
              <w:rPr>
                <w:color w:val="000000"/>
                <w:lang w:eastAsia="ru-RU"/>
              </w:rPr>
              <w:t xml:space="preserve">74 344.00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12</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Персональный компьютер (на платформе Intel), 00000004</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151 850.00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13</w:t>
            </w:r>
          </w:p>
        </w:tc>
        <w:tc>
          <w:tcPr>
            <w:tcW w:w="6805" w:type="dxa"/>
            <w:tcBorders/>
            <w:shd w:fill="auto" w:val="clear"/>
            <w:vAlign w:val="bottom"/>
          </w:tcPr>
          <w:p>
            <w:pPr>
              <w:pStyle w:val="Normal"/>
              <w:spacing w:lineRule="auto" w:line="240" w:before="0" w:after="0"/>
              <w:rPr>
                <w:color w:val="000000"/>
                <w:lang w:val="en-US" w:eastAsia="ru-RU"/>
              </w:rPr>
            </w:pPr>
            <w:r>
              <w:rPr>
                <w:color w:val="000000"/>
                <w:lang w:eastAsia="ru-RU"/>
              </w:rPr>
              <w:t>Планшет</w:t>
            </w:r>
            <w:r>
              <w:rPr>
                <w:color w:val="000000"/>
                <w:lang w:val="en-US" w:eastAsia="ru-RU"/>
              </w:rPr>
              <w:t xml:space="preserve"> Apple  Ipod 2 32Gb 3G White, 00000006</w:t>
            </w:r>
          </w:p>
        </w:tc>
        <w:tc>
          <w:tcPr>
            <w:tcW w:w="2095" w:type="dxa"/>
            <w:tcBorders/>
            <w:shd w:fill="auto" w:val="clear"/>
            <w:vAlign w:val="bottom"/>
          </w:tcPr>
          <w:p>
            <w:pPr>
              <w:pStyle w:val="Normal"/>
              <w:spacing w:lineRule="auto" w:line="240" w:before="0" w:after="0"/>
              <w:rPr>
                <w:color w:val="000000"/>
                <w:lang w:eastAsia="ru-RU"/>
              </w:rPr>
            </w:pPr>
            <w:r>
              <w:rPr>
                <w:color w:val="000000"/>
                <w:lang w:val="en-US" w:eastAsia="ru-RU"/>
              </w:rPr>
              <w:t xml:space="preserve">           </w:t>
            </w:r>
            <w:r>
              <w:rPr>
                <w:color w:val="000000"/>
                <w:lang w:eastAsia="ru-RU"/>
              </w:rPr>
              <w:t xml:space="preserve">31 000.00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14</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топливная емкость 3 м.куб., 00000016</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64 030.26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15</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Насос Grundfos SP 5-25</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61 000.00   </w:t>
            </w:r>
          </w:p>
        </w:tc>
      </w:tr>
      <w:tr>
        <w:trPr>
          <w:trHeight w:val="300" w:hRule="atLeast"/>
        </w:trPr>
        <w:tc>
          <w:tcPr>
            <w:tcW w:w="440" w:type="dxa"/>
            <w:tcBorders/>
            <w:shd w:fill="auto" w:val="clear"/>
            <w:vAlign w:val="bottom"/>
          </w:tcPr>
          <w:p>
            <w:pPr>
              <w:pStyle w:val="Normal"/>
              <w:spacing w:lineRule="auto" w:line="240" w:before="0" w:after="0"/>
              <w:jc w:val="right"/>
              <w:rPr>
                <w:color w:val="000000"/>
                <w:lang w:eastAsia="ru-RU"/>
              </w:rPr>
            </w:pPr>
            <w:r>
              <w:rPr>
                <w:color w:val="000000"/>
                <w:lang w:eastAsia="ru-RU"/>
              </w:rPr>
              <w:t>16</w:t>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t>персональный компьютер Intel Core i5-44440, RAM4Gb</w:t>
            </w:r>
          </w:p>
        </w:tc>
        <w:tc>
          <w:tcPr>
            <w:tcW w:w="2095"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40 880.00   </w:t>
            </w:r>
          </w:p>
        </w:tc>
      </w:tr>
      <w:tr>
        <w:trPr>
          <w:trHeight w:val="300" w:hRule="atLeast"/>
        </w:trPr>
        <w:tc>
          <w:tcPr>
            <w:tcW w:w="440" w:type="dxa"/>
            <w:tcBorders/>
            <w:shd w:fill="auto" w:val="clear"/>
            <w:vAlign w:val="bottom"/>
          </w:tcPr>
          <w:p>
            <w:pPr>
              <w:pStyle w:val="Normal"/>
              <w:spacing w:lineRule="auto" w:line="240" w:before="0" w:after="0"/>
              <w:rPr>
                <w:color w:val="000000"/>
                <w:lang w:eastAsia="ru-RU"/>
              </w:rPr>
            </w:pPr>
            <w:r>
              <w:rPr>
                <w:color w:val="000000"/>
                <w:lang w:eastAsia="ru-RU"/>
              </w:rPr>
            </w:r>
          </w:p>
        </w:tc>
        <w:tc>
          <w:tcPr>
            <w:tcW w:w="6805" w:type="dxa"/>
            <w:tcBorders/>
            <w:shd w:fill="auto" w:val="clear"/>
            <w:vAlign w:val="bottom"/>
          </w:tcPr>
          <w:p>
            <w:pPr>
              <w:pStyle w:val="Normal"/>
              <w:spacing w:lineRule="auto" w:line="240" w:before="0" w:after="0"/>
              <w:rPr>
                <w:color w:val="000000"/>
                <w:lang w:eastAsia="ru-RU"/>
              </w:rPr>
            </w:pPr>
            <w:r>
              <w:rPr>
                <w:color w:val="000000"/>
                <w:lang w:eastAsia="ru-RU"/>
              </w:rPr>
            </w:r>
          </w:p>
        </w:tc>
        <w:tc>
          <w:tcPr>
            <w:tcW w:w="2095" w:type="dxa"/>
            <w:tcBorders/>
            <w:shd w:fill="auto" w:val="clear"/>
            <w:vAlign w:val="bottom"/>
          </w:tcPr>
          <w:p>
            <w:pPr>
              <w:pStyle w:val="Normal"/>
              <w:spacing w:lineRule="auto" w:line="240" w:before="0" w:after="0"/>
              <w:rPr>
                <w:b/>
                <w:b/>
                <w:bCs/>
                <w:color w:val="000000"/>
                <w:lang w:eastAsia="ru-RU"/>
              </w:rPr>
            </w:pPr>
            <w:r>
              <w:rPr>
                <w:b/>
                <w:bCs/>
                <w:color w:val="000000"/>
                <w:lang w:eastAsia="ru-RU"/>
              </w:rPr>
              <w:t xml:space="preserve">     </w:t>
            </w:r>
            <w:r>
              <w:rPr>
                <w:b/>
                <w:bCs/>
                <w:color w:val="000000"/>
                <w:lang w:eastAsia="ru-RU"/>
              </w:rPr>
              <w:t xml:space="preserve">9 779 465.79   </w:t>
            </w:r>
          </w:p>
        </w:tc>
      </w:tr>
    </w:tbl>
    <w:p>
      <w:pPr>
        <w:pStyle w:val="NormalWeb"/>
        <w:spacing w:beforeAutospacing="0" w:before="0" w:afterAutospacing="0" w:after="0"/>
        <w:rPr/>
      </w:pPr>
      <w:r>
        <w:rPr/>
        <w:t xml:space="preserve">Инвентаризация основных средств не проводилась. </w:t>
      </w:r>
    </w:p>
    <w:p>
      <w:pPr>
        <w:pStyle w:val="NormalWeb"/>
        <w:spacing w:beforeAutospacing="0" w:before="0" w:afterAutospacing="0" w:after="0"/>
        <w:ind w:left="-567" w:firstLine="567"/>
        <w:jc w:val="both"/>
        <w:rPr/>
      </w:pPr>
      <w:r>
        <w:rPr/>
        <w:t xml:space="preserve">На здание охраны имеется технический паспорт БТИ. На здание Правления технический паспорт утерян. По информации Правления мероприятия по восстановлению проводятся. </w:t>
      </w:r>
    </w:p>
    <w:p>
      <w:pPr>
        <w:pStyle w:val="NormalWeb"/>
        <w:spacing w:beforeAutospacing="0" w:before="0" w:afterAutospacing="0" w:after="0"/>
        <w:ind w:left="-567" w:firstLine="567"/>
        <w:jc w:val="both"/>
        <w:rPr/>
      </w:pPr>
      <w:r>
        <w:rPr/>
        <w:t xml:space="preserve">На принадлежащий СНП автомобиль УАЗ предоставлен ПТС. В целях использования автопарка (кроме автомобиля в собственности имеются также автомобили в аренде) по информации администрации  автохозяйство СНП зарегистрировано в ГИБДД в соответствии с действующим законодательством. Документы о регистрации не предоставлены. Автомобили не используются для перевозок, поэтому предрейсовый контроль не производится. Но для ремонта и заправки автомобили выезжают за пределы СНП. </w:t>
      </w:r>
    </w:p>
    <w:p>
      <w:pPr>
        <w:pStyle w:val="NormalWeb"/>
        <w:spacing w:beforeAutospacing="0" w:before="0" w:afterAutospacing="0" w:after="0"/>
        <w:jc w:val="right"/>
        <w:rPr/>
      </w:pPr>
      <w:r>
        <w:rPr/>
      </w:r>
    </w:p>
    <w:p>
      <w:pPr>
        <w:pStyle w:val="NormalWeb"/>
        <w:spacing w:beforeAutospacing="0" w:before="0" w:afterAutospacing="0" w:after="0"/>
        <w:jc w:val="both"/>
        <w:rPr/>
      </w:pPr>
      <w:r>
        <w:rPr/>
        <w:t>Перечень объектов незавершенных капитальных вложений представлен в Табл.4</w:t>
      </w:r>
    </w:p>
    <w:p>
      <w:pPr>
        <w:pStyle w:val="NormalWeb"/>
        <w:spacing w:beforeAutospacing="0" w:before="0" w:afterAutospacing="0" w:after="0"/>
        <w:jc w:val="both"/>
        <w:rPr/>
      </w:pPr>
      <w:r>
        <w:rPr/>
      </w:r>
    </w:p>
    <w:p>
      <w:pPr>
        <w:pStyle w:val="NormalWeb"/>
        <w:spacing w:beforeAutospacing="0" w:before="0" w:afterAutospacing="0" w:after="0"/>
        <w:jc w:val="right"/>
        <w:rPr/>
      </w:pPr>
      <w:r>
        <w:rPr/>
        <w:t>Табл.4</w:t>
      </w:r>
    </w:p>
    <w:p>
      <w:pPr>
        <w:pStyle w:val="NormalWeb"/>
        <w:spacing w:beforeAutospacing="0" w:before="0" w:afterAutospacing="0" w:after="0"/>
        <w:jc w:val="both"/>
        <w:rPr/>
      </w:pPr>
      <w:r>
        <w:rPr/>
      </w:r>
    </w:p>
    <w:tbl>
      <w:tblPr>
        <w:tblW w:w="9440" w:type="dxa"/>
        <w:jc w:val="left"/>
        <w:tblInd w:w="93"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940"/>
        <w:gridCol w:w="6163"/>
        <w:gridCol w:w="2337"/>
      </w:tblGrid>
      <w:tr>
        <w:trPr>
          <w:trHeight w:val="615" w:hRule="atLeast"/>
        </w:trPr>
        <w:tc>
          <w:tcPr>
            <w:tcW w:w="940" w:type="dxa"/>
            <w:tcBorders>
              <w:bottom w:val="double" w:sz="6" w:space="0" w:color="00000A"/>
              <w:insideH w:val="double" w:sz="6" w:space="0" w:color="00000A"/>
            </w:tcBorders>
            <w:shd w:fill="auto" w:val="clear"/>
            <w:vAlign w:val="bottom"/>
          </w:tcPr>
          <w:p>
            <w:pPr>
              <w:pStyle w:val="Normal"/>
              <w:spacing w:lineRule="auto" w:line="240" w:before="0" w:after="0"/>
              <w:rPr>
                <w:color w:val="000000"/>
                <w:lang w:eastAsia="ru-RU"/>
              </w:rPr>
            </w:pPr>
            <w:r>
              <w:rPr>
                <w:color w:val="000000"/>
                <w:lang w:eastAsia="ru-RU"/>
              </w:rPr>
              <w:t> </w:t>
            </w:r>
          </w:p>
        </w:tc>
        <w:tc>
          <w:tcPr>
            <w:tcW w:w="6163"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Объект</w:t>
            </w:r>
          </w:p>
        </w:tc>
        <w:tc>
          <w:tcPr>
            <w:tcW w:w="2337"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 xml:space="preserve"> </w:t>
            </w:r>
            <w:r>
              <w:rPr>
                <w:b/>
                <w:bCs/>
                <w:color w:val="000000"/>
                <w:lang w:eastAsia="ru-RU"/>
              </w:rPr>
              <w:t xml:space="preserve">Балансовая стоимость  </w:t>
            </w:r>
          </w:p>
        </w:tc>
      </w:tr>
      <w:tr>
        <w:trPr>
          <w:trHeight w:val="330" w:hRule="atLeast"/>
        </w:trPr>
        <w:tc>
          <w:tcPr>
            <w:tcW w:w="940" w:type="dxa"/>
            <w:tcBorders/>
            <w:shd w:fill="auto" w:val="clear"/>
            <w:vAlign w:val="bottom"/>
          </w:tcPr>
          <w:p>
            <w:pPr>
              <w:pStyle w:val="Normal"/>
              <w:spacing w:lineRule="auto" w:line="240" w:before="0" w:after="0"/>
              <w:jc w:val="right"/>
              <w:rPr>
                <w:color w:val="000000"/>
                <w:lang w:eastAsia="ru-RU"/>
              </w:rPr>
            </w:pPr>
            <w:r>
              <w:rPr>
                <w:color w:val="000000"/>
                <w:lang w:eastAsia="ru-RU"/>
              </w:rPr>
              <w:t>1</w:t>
            </w:r>
          </w:p>
        </w:tc>
        <w:tc>
          <w:tcPr>
            <w:tcW w:w="6163" w:type="dxa"/>
            <w:tcBorders/>
            <w:shd w:fill="auto" w:val="clear"/>
            <w:vAlign w:val="bottom"/>
          </w:tcPr>
          <w:p>
            <w:pPr>
              <w:pStyle w:val="Normal"/>
              <w:spacing w:lineRule="auto" w:line="240" w:before="0" w:after="0"/>
              <w:rPr>
                <w:color w:val="000000"/>
                <w:lang w:eastAsia="ru-RU"/>
              </w:rPr>
            </w:pPr>
            <w:r>
              <w:rPr>
                <w:color w:val="000000"/>
                <w:lang w:eastAsia="ru-RU"/>
              </w:rPr>
              <w:t>Внутренние дороги</w:t>
            </w:r>
          </w:p>
        </w:tc>
        <w:tc>
          <w:tcPr>
            <w:tcW w:w="2337" w:type="dxa"/>
            <w:tcBorders/>
            <w:shd w:fill="auto" w:val="clear"/>
            <w:vAlign w:val="bottom"/>
          </w:tcPr>
          <w:p>
            <w:pPr>
              <w:pStyle w:val="Normal"/>
              <w:spacing w:lineRule="auto" w:line="240" w:before="0" w:after="0"/>
              <w:rPr>
                <w:color w:val="000000"/>
                <w:lang w:eastAsia="ru-RU"/>
              </w:rPr>
            </w:pPr>
            <w:r>
              <w:rPr>
                <w:color w:val="000000"/>
                <w:lang w:eastAsia="ru-RU"/>
              </w:rPr>
              <w:t xml:space="preserve">     </w:t>
            </w:r>
            <w:r>
              <w:rPr>
                <w:color w:val="000000"/>
                <w:lang w:eastAsia="ru-RU"/>
              </w:rPr>
              <w:t xml:space="preserve">50 951 170.00   </w:t>
            </w:r>
          </w:p>
        </w:tc>
      </w:tr>
    </w:tbl>
    <w:p>
      <w:pPr>
        <w:pStyle w:val="NormalWeb"/>
        <w:spacing w:beforeAutospacing="0" w:before="0" w:afterAutospacing="0" w:after="0"/>
        <w:jc w:val="both"/>
        <w:rPr/>
      </w:pPr>
      <w:r>
        <w:rPr/>
      </w:r>
    </w:p>
    <w:p>
      <w:pPr>
        <w:pStyle w:val="NormalWeb"/>
        <w:spacing w:beforeAutospacing="0" w:before="0" w:afterAutospacing="0" w:after="0"/>
        <w:jc w:val="both"/>
        <w:rPr/>
      </w:pPr>
      <w:r>
        <w:rPr/>
      </w:r>
    </w:p>
    <w:p>
      <w:pPr>
        <w:pStyle w:val="NormalWeb"/>
        <w:numPr>
          <w:ilvl w:val="0"/>
          <w:numId w:val="2"/>
        </w:numPr>
        <w:spacing w:beforeAutospacing="0" w:before="0" w:afterAutospacing="0" w:after="0"/>
        <w:jc w:val="both"/>
        <w:rPr/>
      </w:pPr>
      <w:r>
        <w:rPr/>
        <w:t>Запасы</w:t>
      </w:r>
    </w:p>
    <w:p>
      <w:pPr>
        <w:pStyle w:val="NormalWeb"/>
        <w:spacing w:beforeAutospacing="0" w:before="0" w:afterAutospacing="0" w:after="0"/>
        <w:jc w:val="both"/>
        <w:rPr/>
      </w:pPr>
      <w:r>
        <w:rPr/>
      </w:r>
    </w:p>
    <w:p>
      <w:pPr>
        <w:pStyle w:val="NormalWeb"/>
        <w:spacing w:beforeAutospacing="0" w:before="0" w:afterAutospacing="0" w:after="0"/>
        <w:jc w:val="both"/>
        <w:rPr/>
      </w:pPr>
      <w:r>
        <w:rPr/>
        <w:t>Расшифровка запасов СНП «Северная жемчужина» представлена в Табл. 5</w:t>
      </w:r>
    </w:p>
    <w:p>
      <w:pPr>
        <w:pStyle w:val="NormalWeb"/>
        <w:spacing w:beforeAutospacing="0" w:before="0" w:afterAutospacing="0" w:after="0"/>
        <w:jc w:val="both"/>
        <w:rPr/>
      </w:pPr>
      <w:r>
        <w:rPr/>
      </w:r>
    </w:p>
    <w:p>
      <w:pPr>
        <w:pStyle w:val="NormalWeb"/>
        <w:spacing w:beforeAutospacing="0" w:before="0" w:afterAutospacing="0" w:after="0"/>
        <w:jc w:val="right"/>
        <w:rPr/>
      </w:pPr>
      <w:r>
        <w:rPr/>
        <w:t>Табл.5</w:t>
      </w:r>
    </w:p>
    <w:p>
      <w:pPr>
        <w:pStyle w:val="NormalWeb"/>
        <w:spacing w:beforeAutospacing="0" w:before="0" w:afterAutospacing="0" w:after="0"/>
        <w:jc w:val="both"/>
        <w:rPr/>
      </w:pPr>
      <w:r>
        <w:rPr/>
      </w:r>
    </w:p>
    <w:tbl>
      <w:tblPr>
        <w:tblW w:w="6678" w:type="dxa"/>
        <w:jc w:val="left"/>
        <w:tblInd w:w="93"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3680"/>
        <w:gridCol w:w="587"/>
        <w:gridCol w:w="2410"/>
      </w:tblGrid>
      <w:tr>
        <w:trPr>
          <w:trHeight w:val="315" w:hRule="atLeast"/>
        </w:trPr>
        <w:tc>
          <w:tcPr>
            <w:tcW w:w="4267" w:type="dxa"/>
            <w:gridSpan w:val="2"/>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Вид ТМЦ</w:t>
            </w:r>
          </w:p>
        </w:tc>
        <w:tc>
          <w:tcPr>
            <w:tcW w:w="2410"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Сумма</w:t>
            </w:r>
          </w:p>
        </w:tc>
      </w:tr>
      <w:tr>
        <w:trPr>
          <w:trHeight w:val="330" w:hRule="atLeast"/>
        </w:trPr>
        <w:tc>
          <w:tcPr>
            <w:tcW w:w="3680" w:type="dxa"/>
            <w:tcBorders/>
            <w:shd w:fill="auto" w:val="clear"/>
            <w:vAlign w:val="bottom"/>
          </w:tcPr>
          <w:p>
            <w:pPr>
              <w:pStyle w:val="Normal"/>
              <w:spacing w:lineRule="auto" w:line="240" w:before="0" w:after="0"/>
              <w:rPr>
                <w:color w:val="000000"/>
                <w:lang w:eastAsia="ru-RU"/>
              </w:rPr>
            </w:pPr>
            <w:r>
              <w:rPr>
                <w:color w:val="000000"/>
                <w:lang w:eastAsia="ru-RU"/>
              </w:rPr>
              <w:t>М-лы для монтажа эл-ва на участках</w:t>
            </w:r>
          </w:p>
        </w:tc>
        <w:tc>
          <w:tcPr>
            <w:tcW w:w="2997" w:type="dxa"/>
            <w:gridSpan w:val="2"/>
            <w:tcBorders/>
            <w:shd w:fill="auto" w:val="clear"/>
            <w:vAlign w:val="bottom"/>
          </w:tcPr>
          <w:p>
            <w:pPr>
              <w:pStyle w:val="Normal"/>
              <w:spacing w:lineRule="auto" w:line="240" w:before="0" w:after="0"/>
              <w:jc w:val="center"/>
              <w:rPr>
                <w:color w:val="000000"/>
                <w:lang w:eastAsia="ru-RU"/>
              </w:rPr>
            </w:pPr>
            <w:r>
              <w:rPr>
                <w:color w:val="000000"/>
                <w:lang w:eastAsia="ru-RU"/>
              </w:rPr>
              <w:t xml:space="preserve">     </w:t>
            </w:r>
            <w:r>
              <w:rPr>
                <w:color w:val="000000"/>
                <w:lang w:eastAsia="ru-RU"/>
              </w:rPr>
              <w:t xml:space="preserve">4 248 395.07   </w:t>
            </w:r>
          </w:p>
        </w:tc>
      </w:tr>
      <w:tr>
        <w:trPr>
          <w:trHeight w:val="300" w:hRule="atLeast"/>
        </w:trPr>
        <w:tc>
          <w:tcPr>
            <w:tcW w:w="3680" w:type="dxa"/>
            <w:tcBorders/>
            <w:shd w:fill="auto" w:val="clear"/>
            <w:vAlign w:val="bottom"/>
          </w:tcPr>
          <w:p>
            <w:pPr>
              <w:pStyle w:val="Normal"/>
              <w:spacing w:lineRule="auto" w:line="240" w:before="0" w:after="0"/>
              <w:rPr>
                <w:color w:val="000000"/>
                <w:lang w:eastAsia="ru-RU"/>
              </w:rPr>
            </w:pPr>
            <w:r>
              <w:rPr>
                <w:color w:val="000000"/>
                <w:lang w:eastAsia="ru-RU"/>
              </w:rPr>
              <w:t>М-лы для эл.сетей и освещения</w:t>
            </w:r>
          </w:p>
        </w:tc>
        <w:tc>
          <w:tcPr>
            <w:tcW w:w="2997" w:type="dxa"/>
            <w:gridSpan w:val="2"/>
            <w:tcBorders/>
            <w:shd w:fill="auto" w:val="clear"/>
            <w:vAlign w:val="bottom"/>
          </w:tcPr>
          <w:p>
            <w:pPr>
              <w:pStyle w:val="Normal"/>
              <w:spacing w:lineRule="auto" w:line="240" w:before="0" w:after="0"/>
              <w:jc w:val="center"/>
              <w:rPr>
                <w:color w:val="000000"/>
                <w:lang w:eastAsia="ru-RU"/>
              </w:rPr>
            </w:pPr>
            <w:r>
              <w:rPr>
                <w:color w:val="000000"/>
                <w:lang w:eastAsia="ru-RU"/>
              </w:rPr>
              <w:t xml:space="preserve">     </w:t>
            </w:r>
            <w:r>
              <w:rPr>
                <w:color w:val="000000"/>
                <w:lang w:eastAsia="ru-RU"/>
              </w:rPr>
              <w:t xml:space="preserve">4 196 426.18   </w:t>
            </w:r>
          </w:p>
        </w:tc>
      </w:tr>
      <w:tr>
        <w:trPr>
          <w:trHeight w:val="300" w:hRule="atLeast"/>
        </w:trPr>
        <w:tc>
          <w:tcPr>
            <w:tcW w:w="3680" w:type="dxa"/>
            <w:tcBorders/>
            <w:shd w:fill="auto" w:val="clear"/>
            <w:vAlign w:val="bottom"/>
          </w:tcPr>
          <w:p>
            <w:pPr>
              <w:pStyle w:val="Normal"/>
              <w:spacing w:lineRule="auto" w:line="240" w:before="0" w:after="0"/>
              <w:rPr>
                <w:color w:val="000000"/>
                <w:lang w:eastAsia="ru-RU"/>
              </w:rPr>
            </w:pPr>
            <w:r>
              <w:rPr>
                <w:color w:val="000000"/>
                <w:lang w:eastAsia="ru-RU"/>
              </w:rPr>
              <w:t>Трубы ЖБИ</w:t>
            </w:r>
          </w:p>
        </w:tc>
        <w:tc>
          <w:tcPr>
            <w:tcW w:w="2997" w:type="dxa"/>
            <w:gridSpan w:val="2"/>
            <w:tcBorders/>
            <w:shd w:fill="auto" w:val="clear"/>
            <w:vAlign w:val="bottom"/>
          </w:tcPr>
          <w:p>
            <w:pPr>
              <w:pStyle w:val="Normal"/>
              <w:spacing w:lineRule="auto" w:line="240" w:before="0" w:after="0"/>
              <w:jc w:val="center"/>
              <w:rPr>
                <w:color w:val="000000"/>
                <w:lang w:eastAsia="ru-RU"/>
              </w:rPr>
            </w:pPr>
            <w:r>
              <w:rPr>
                <w:color w:val="000000"/>
                <w:lang w:eastAsia="ru-RU"/>
              </w:rPr>
              <w:t xml:space="preserve">        </w:t>
            </w:r>
            <w:r>
              <w:rPr>
                <w:color w:val="000000"/>
                <w:lang w:eastAsia="ru-RU"/>
              </w:rPr>
              <w:t>256 800.10</w:t>
            </w:r>
          </w:p>
        </w:tc>
      </w:tr>
      <w:tr>
        <w:trPr>
          <w:trHeight w:val="300" w:hRule="atLeast"/>
        </w:trPr>
        <w:tc>
          <w:tcPr>
            <w:tcW w:w="3680" w:type="dxa"/>
            <w:tcBorders/>
            <w:shd w:fill="auto" w:val="clear"/>
            <w:vAlign w:val="bottom"/>
          </w:tcPr>
          <w:p>
            <w:pPr>
              <w:pStyle w:val="Normal"/>
              <w:spacing w:lineRule="auto" w:line="240" w:before="0" w:after="0"/>
              <w:rPr>
                <w:color w:val="000000"/>
                <w:lang w:eastAsia="ru-RU"/>
              </w:rPr>
            </w:pPr>
            <w:r>
              <w:rPr>
                <w:color w:val="000000"/>
                <w:lang w:eastAsia="ru-RU"/>
              </w:rPr>
              <w:t>Топливо</w:t>
            </w:r>
          </w:p>
        </w:tc>
        <w:tc>
          <w:tcPr>
            <w:tcW w:w="2997" w:type="dxa"/>
            <w:gridSpan w:val="2"/>
            <w:tcBorders/>
            <w:shd w:fill="auto" w:val="clear"/>
            <w:vAlign w:val="bottom"/>
          </w:tcPr>
          <w:p>
            <w:pPr>
              <w:pStyle w:val="Normal"/>
              <w:spacing w:lineRule="auto" w:line="240" w:before="0" w:after="0"/>
              <w:jc w:val="center"/>
              <w:rPr>
                <w:color w:val="000000"/>
                <w:lang w:eastAsia="ru-RU"/>
              </w:rPr>
            </w:pPr>
            <w:r>
              <w:rPr>
                <w:color w:val="000000"/>
                <w:lang w:eastAsia="ru-RU"/>
              </w:rPr>
              <w:t xml:space="preserve">        </w:t>
            </w:r>
            <w:r>
              <w:rPr>
                <w:color w:val="000000"/>
                <w:lang w:eastAsia="ru-RU"/>
              </w:rPr>
              <w:t xml:space="preserve">124 391.97   </w:t>
            </w:r>
          </w:p>
        </w:tc>
      </w:tr>
      <w:tr>
        <w:trPr>
          <w:trHeight w:val="300" w:hRule="atLeast"/>
        </w:trPr>
        <w:tc>
          <w:tcPr>
            <w:tcW w:w="3680" w:type="dxa"/>
            <w:tcBorders/>
            <w:shd w:fill="auto" w:val="clear"/>
            <w:vAlign w:val="bottom"/>
          </w:tcPr>
          <w:p>
            <w:pPr>
              <w:pStyle w:val="Normal"/>
              <w:spacing w:lineRule="auto" w:line="240" w:before="0" w:after="0"/>
              <w:rPr>
                <w:color w:val="000000"/>
                <w:lang w:eastAsia="ru-RU"/>
              </w:rPr>
            </w:pPr>
            <w:r>
              <w:rPr>
                <w:color w:val="000000"/>
                <w:lang w:eastAsia="ru-RU"/>
              </w:rPr>
              <w:t>Щебень</w:t>
            </w:r>
          </w:p>
        </w:tc>
        <w:tc>
          <w:tcPr>
            <w:tcW w:w="2997" w:type="dxa"/>
            <w:gridSpan w:val="2"/>
            <w:tcBorders/>
            <w:shd w:fill="auto" w:val="clear"/>
            <w:vAlign w:val="bottom"/>
          </w:tcPr>
          <w:p>
            <w:pPr>
              <w:pStyle w:val="Normal"/>
              <w:spacing w:lineRule="auto" w:line="240" w:before="0" w:after="0"/>
              <w:jc w:val="center"/>
              <w:rPr>
                <w:color w:val="000000"/>
                <w:lang w:eastAsia="ru-RU"/>
              </w:rPr>
            </w:pPr>
            <w:r>
              <w:rPr>
                <w:color w:val="000000"/>
                <w:lang w:eastAsia="ru-RU"/>
              </w:rPr>
              <w:t xml:space="preserve">        </w:t>
            </w:r>
            <w:r>
              <w:rPr>
                <w:color w:val="000000"/>
                <w:lang w:eastAsia="ru-RU"/>
              </w:rPr>
              <w:t xml:space="preserve">886 782.50   </w:t>
            </w:r>
          </w:p>
        </w:tc>
      </w:tr>
      <w:tr>
        <w:trPr>
          <w:trHeight w:val="300" w:hRule="atLeast"/>
        </w:trPr>
        <w:tc>
          <w:tcPr>
            <w:tcW w:w="368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997" w:type="dxa"/>
            <w:gridSpan w:val="2"/>
            <w:tcBorders/>
            <w:shd w:fill="auto" w:val="clear"/>
            <w:vAlign w:val="bottom"/>
          </w:tcPr>
          <w:p>
            <w:pPr>
              <w:pStyle w:val="Normal"/>
              <w:spacing w:lineRule="auto" w:line="240" w:before="0" w:after="0"/>
              <w:rPr>
                <w:b/>
                <w:b/>
                <w:bCs/>
                <w:color w:val="000000"/>
                <w:lang w:eastAsia="ru-RU"/>
              </w:rPr>
            </w:pPr>
            <w:r>
              <w:rPr>
                <w:b/>
                <w:bCs/>
                <w:color w:val="000000"/>
                <w:lang w:eastAsia="ru-RU"/>
              </w:rPr>
              <w:t xml:space="preserve">                  </w:t>
            </w:r>
            <w:r>
              <w:rPr>
                <w:b/>
                <w:bCs/>
                <w:color w:val="000000"/>
                <w:lang w:eastAsia="ru-RU"/>
              </w:rPr>
              <w:t xml:space="preserve">9 712 795.82   </w:t>
            </w:r>
          </w:p>
        </w:tc>
      </w:tr>
    </w:tbl>
    <w:p>
      <w:pPr>
        <w:pStyle w:val="NormalWeb"/>
        <w:spacing w:beforeAutospacing="0" w:before="0" w:afterAutospacing="0" w:after="0"/>
        <w:jc w:val="both"/>
        <w:rPr/>
      </w:pPr>
      <w:r>
        <w:rPr/>
      </w:r>
    </w:p>
    <w:p>
      <w:pPr>
        <w:pStyle w:val="NormalWeb"/>
        <w:spacing w:beforeAutospacing="0" w:before="0" w:afterAutospacing="0" w:after="0"/>
        <w:jc w:val="both"/>
        <w:rPr/>
      </w:pPr>
      <w:r>
        <w:rPr/>
      </w:r>
    </w:p>
    <w:p>
      <w:pPr>
        <w:pStyle w:val="NormalWeb"/>
        <w:numPr>
          <w:ilvl w:val="0"/>
          <w:numId w:val="2"/>
        </w:numPr>
        <w:spacing w:beforeAutospacing="0" w:before="0" w:afterAutospacing="0" w:after="0"/>
        <w:jc w:val="both"/>
        <w:rPr/>
      </w:pPr>
      <w:r>
        <w:rPr/>
        <w:t>Денежные средства</w:t>
      </w:r>
    </w:p>
    <w:p>
      <w:pPr>
        <w:pStyle w:val="NormalWeb"/>
        <w:spacing w:beforeAutospacing="0" w:before="0" w:afterAutospacing="0" w:after="0"/>
        <w:jc w:val="both"/>
        <w:rPr/>
      </w:pPr>
      <w:r>
        <w:rPr/>
      </w:r>
    </w:p>
    <w:p>
      <w:pPr>
        <w:pStyle w:val="NormalWeb"/>
        <w:spacing w:beforeAutospacing="0" w:before="0" w:afterAutospacing="0" w:after="0"/>
        <w:jc w:val="both"/>
        <w:rPr/>
      </w:pPr>
      <w:r>
        <w:rPr/>
        <w:t xml:space="preserve">     </w:t>
      </w:r>
      <w:r>
        <w:rPr/>
        <w:t>Расшифровка остатков денежных средств на отчетную дату представлены в Табл.6</w:t>
      </w:r>
    </w:p>
    <w:p>
      <w:pPr>
        <w:pStyle w:val="NormalWeb"/>
        <w:spacing w:beforeAutospacing="0" w:before="0" w:afterAutospacing="0" w:after="0"/>
        <w:jc w:val="both"/>
        <w:rPr/>
      </w:pPr>
      <w:r>
        <w:rPr/>
      </w:r>
    </w:p>
    <w:p>
      <w:pPr>
        <w:pStyle w:val="NormalWeb"/>
        <w:spacing w:beforeAutospacing="0" w:before="0" w:afterAutospacing="0" w:after="0"/>
        <w:jc w:val="right"/>
        <w:rPr/>
      </w:pPr>
      <w:r>
        <w:rPr/>
        <w:t>Табл.6</w:t>
      </w:r>
    </w:p>
    <w:tbl>
      <w:tblPr>
        <w:tblW w:w="4551" w:type="dxa"/>
        <w:jc w:val="left"/>
        <w:tblInd w:w="93"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2991"/>
        <w:gridCol w:w="1559"/>
      </w:tblGrid>
      <w:tr>
        <w:trPr>
          <w:trHeight w:val="315" w:hRule="atLeast"/>
        </w:trPr>
        <w:tc>
          <w:tcPr>
            <w:tcW w:w="2991"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Банк</w:t>
            </w:r>
          </w:p>
        </w:tc>
        <w:tc>
          <w:tcPr>
            <w:tcW w:w="1559"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 xml:space="preserve">                     </w:t>
            </w:r>
            <w:r>
              <w:rPr>
                <w:b/>
                <w:bCs/>
                <w:color w:val="000000"/>
                <w:lang w:eastAsia="ru-RU"/>
              </w:rPr>
              <w:t>Сумма</w:t>
            </w:r>
          </w:p>
        </w:tc>
      </w:tr>
      <w:tr>
        <w:trPr>
          <w:trHeight w:val="315" w:hRule="atLeast"/>
        </w:trPr>
        <w:tc>
          <w:tcPr>
            <w:tcW w:w="2991" w:type="dxa"/>
            <w:tcBorders/>
            <w:shd w:fill="auto" w:val="clear"/>
            <w:vAlign w:val="bottom"/>
          </w:tcPr>
          <w:p>
            <w:pPr>
              <w:pStyle w:val="Normal"/>
              <w:spacing w:lineRule="auto" w:line="240" w:before="0" w:after="0"/>
              <w:rPr>
                <w:color w:val="000000"/>
                <w:lang w:eastAsia="ru-RU"/>
              </w:rPr>
            </w:pPr>
            <w:r>
              <w:rPr>
                <w:color w:val="000000"/>
                <w:lang w:eastAsia="ru-RU"/>
              </w:rPr>
              <w:t>ПСКБ</w:t>
            </w:r>
          </w:p>
        </w:tc>
        <w:tc>
          <w:tcPr>
            <w:tcW w:w="1559" w:type="dxa"/>
            <w:tcBorders/>
            <w:shd w:fill="auto" w:val="clear"/>
            <w:vAlign w:val="bottom"/>
          </w:tcPr>
          <w:p>
            <w:pPr>
              <w:pStyle w:val="Normal"/>
              <w:spacing w:lineRule="auto" w:line="240" w:before="0" w:after="0"/>
              <w:jc w:val="right"/>
              <w:rPr>
                <w:color w:val="000000"/>
                <w:lang w:eastAsia="ru-RU"/>
              </w:rPr>
            </w:pPr>
            <w:r>
              <w:rPr>
                <w:color w:val="000000"/>
                <w:lang w:eastAsia="ru-RU"/>
              </w:rPr>
              <w:t>1 694.00</w:t>
            </w:r>
          </w:p>
        </w:tc>
      </w:tr>
      <w:tr>
        <w:trPr>
          <w:trHeight w:val="300" w:hRule="atLeast"/>
        </w:trPr>
        <w:tc>
          <w:tcPr>
            <w:tcW w:w="2991" w:type="dxa"/>
            <w:tcBorders/>
            <w:shd w:fill="auto" w:val="clear"/>
            <w:vAlign w:val="bottom"/>
          </w:tcPr>
          <w:p>
            <w:pPr>
              <w:pStyle w:val="Normal"/>
              <w:spacing w:lineRule="auto" w:line="240" w:before="0" w:after="0"/>
              <w:rPr>
                <w:color w:val="000000"/>
                <w:lang w:eastAsia="ru-RU"/>
              </w:rPr>
            </w:pPr>
            <w:r>
              <w:rPr>
                <w:color w:val="000000"/>
                <w:lang w:eastAsia="ru-RU"/>
              </w:rPr>
              <w:t>Ханты-Мансийский Банк</w:t>
            </w:r>
          </w:p>
        </w:tc>
        <w:tc>
          <w:tcPr>
            <w:tcW w:w="1559" w:type="dxa"/>
            <w:tcBorders/>
            <w:shd w:fill="auto" w:val="clear"/>
            <w:vAlign w:val="bottom"/>
          </w:tcPr>
          <w:p>
            <w:pPr>
              <w:pStyle w:val="Normal"/>
              <w:spacing w:lineRule="auto" w:line="240" w:before="0" w:after="0"/>
              <w:jc w:val="right"/>
              <w:rPr>
                <w:color w:val="000000"/>
                <w:lang w:eastAsia="ru-RU"/>
              </w:rPr>
            </w:pPr>
            <w:r>
              <w:rPr>
                <w:color w:val="000000"/>
                <w:lang w:eastAsia="ru-RU"/>
              </w:rPr>
              <w:t>433 043.57</w:t>
            </w:r>
          </w:p>
        </w:tc>
      </w:tr>
      <w:tr>
        <w:trPr>
          <w:trHeight w:val="300" w:hRule="atLeast"/>
        </w:trPr>
        <w:tc>
          <w:tcPr>
            <w:tcW w:w="2991" w:type="dxa"/>
            <w:tcBorders/>
            <w:shd w:fill="auto" w:val="clear"/>
            <w:vAlign w:val="bottom"/>
          </w:tcPr>
          <w:p>
            <w:pPr>
              <w:pStyle w:val="Normal"/>
              <w:spacing w:lineRule="auto" w:line="240" w:before="0" w:after="0"/>
              <w:rPr>
                <w:color w:val="000000"/>
                <w:lang w:eastAsia="ru-RU"/>
              </w:rPr>
            </w:pPr>
            <w:r>
              <w:rPr>
                <w:color w:val="000000"/>
                <w:lang w:eastAsia="ru-RU"/>
              </w:rPr>
              <w:t>Сбербанк</w:t>
            </w:r>
          </w:p>
        </w:tc>
        <w:tc>
          <w:tcPr>
            <w:tcW w:w="1559" w:type="dxa"/>
            <w:tcBorders/>
            <w:shd w:fill="auto" w:val="clear"/>
            <w:vAlign w:val="bottom"/>
          </w:tcPr>
          <w:p>
            <w:pPr>
              <w:pStyle w:val="Normal"/>
              <w:spacing w:lineRule="auto" w:line="240" w:before="0" w:after="0"/>
              <w:jc w:val="right"/>
              <w:rPr>
                <w:color w:val="000000"/>
                <w:lang w:eastAsia="ru-RU"/>
              </w:rPr>
            </w:pPr>
            <w:r>
              <w:rPr>
                <w:color w:val="000000"/>
                <w:lang w:eastAsia="ru-RU"/>
              </w:rPr>
              <w:t>5 505 013.19</w:t>
            </w:r>
          </w:p>
        </w:tc>
      </w:tr>
      <w:tr>
        <w:trPr>
          <w:trHeight w:val="300" w:hRule="atLeast"/>
        </w:trPr>
        <w:tc>
          <w:tcPr>
            <w:tcW w:w="2991" w:type="dxa"/>
            <w:tcBorders/>
            <w:shd w:fill="auto" w:val="clear"/>
            <w:vAlign w:val="bottom"/>
          </w:tcPr>
          <w:p>
            <w:pPr>
              <w:pStyle w:val="Normal"/>
              <w:spacing w:lineRule="auto" w:line="240" w:before="0" w:after="0"/>
              <w:rPr>
                <w:color w:val="000000"/>
                <w:lang w:eastAsia="ru-RU"/>
              </w:rPr>
            </w:pPr>
            <w:r>
              <w:rPr>
                <w:color w:val="000000"/>
                <w:lang w:eastAsia="ru-RU"/>
              </w:rPr>
              <w:t>Викинг</w:t>
            </w:r>
          </w:p>
        </w:tc>
        <w:tc>
          <w:tcPr>
            <w:tcW w:w="1559" w:type="dxa"/>
            <w:tcBorders/>
            <w:shd w:fill="auto" w:val="clear"/>
            <w:vAlign w:val="bottom"/>
          </w:tcPr>
          <w:p>
            <w:pPr>
              <w:pStyle w:val="Normal"/>
              <w:spacing w:lineRule="auto" w:line="240" w:before="0" w:after="0"/>
              <w:jc w:val="right"/>
              <w:rPr>
                <w:color w:val="000000"/>
                <w:lang w:eastAsia="ru-RU"/>
              </w:rPr>
            </w:pPr>
            <w:r>
              <w:rPr>
                <w:color w:val="000000"/>
                <w:lang w:eastAsia="ru-RU"/>
              </w:rPr>
              <w:t>12 000.00</w:t>
            </w:r>
          </w:p>
        </w:tc>
      </w:tr>
      <w:tr>
        <w:trPr>
          <w:trHeight w:val="300" w:hRule="atLeast"/>
        </w:trPr>
        <w:tc>
          <w:tcPr>
            <w:tcW w:w="2991" w:type="dxa"/>
            <w:tcBorders/>
            <w:shd w:fill="auto" w:val="clear"/>
            <w:vAlign w:val="bottom"/>
          </w:tcPr>
          <w:p>
            <w:pPr>
              <w:pStyle w:val="Normal"/>
              <w:spacing w:lineRule="auto" w:line="240" w:before="0" w:after="0"/>
              <w:rPr>
                <w:color w:val="000000"/>
                <w:lang w:eastAsia="ru-RU"/>
              </w:rPr>
            </w:pPr>
            <w:r>
              <w:rPr>
                <w:color w:val="000000"/>
                <w:lang w:eastAsia="ru-RU"/>
              </w:rPr>
            </w:r>
          </w:p>
        </w:tc>
        <w:tc>
          <w:tcPr>
            <w:tcW w:w="1559" w:type="dxa"/>
            <w:tcBorders/>
            <w:shd w:fill="auto" w:val="clear"/>
            <w:vAlign w:val="bottom"/>
          </w:tcPr>
          <w:p>
            <w:pPr>
              <w:pStyle w:val="Normal"/>
              <w:spacing w:lineRule="auto" w:line="240" w:before="0" w:after="0"/>
              <w:jc w:val="right"/>
              <w:rPr>
                <w:b/>
                <w:b/>
                <w:bCs/>
                <w:color w:val="000000"/>
                <w:lang w:eastAsia="ru-RU"/>
              </w:rPr>
            </w:pPr>
            <w:r>
              <w:rPr>
                <w:b/>
                <w:bCs/>
                <w:color w:val="000000"/>
                <w:lang w:eastAsia="ru-RU"/>
              </w:rPr>
              <w:t>5 951 750.76</w:t>
            </w:r>
          </w:p>
        </w:tc>
      </w:tr>
    </w:tbl>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 xml:space="preserve">Доступ к счету в банке «Викинг» отсутствует, сверки с банком и подтверждения остатков нет. </w:t>
      </w:r>
    </w:p>
    <w:p>
      <w:pPr>
        <w:pStyle w:val="NormalWeb"/>
        <w:spacing w:beforeAutospacing="0" w:before="0" w:afterAutospacing="0" w:after="0"/>
        <w:jc w:val="both"/>
        <w:rPr/>
      </w:pPr>
      <w:r>
        <w:rPr/>
      </w:r>
    </w:p>
    <w:p>
      <w:pPr>
        <w:pStyle w:val="NormalWeb"/>
        <w:numPr>
          <w:ilvl w:val="0"/>
          <w:numId w:val="2"/>
        </w:numPr>
        <w:spacing w:beforeAutospacing="0" w:before="0" w:afterAutospacing="0" w:after="0"/>
        <w:jc w:val="both"/>
        <w:rPr/>
      </w:pPr>
      <w:r>
        <w:rPr/>
        <w:t>Оборотные активы</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 xml:space="preserve">     </w:t>
      </w:r>
      <w:r>
        <w:rPr/>
        <w:t>К оборотным активам относится дебиторская задолженность контрагентов, сотрудников, садоводов, переплаты в бюджет и внебюджетные фонды. Расшифровка оборотных активов представлена в Табл.7.</w:t>
      </w:r>
    </w:p>
    <w:p>
      <w:pPr>
        <w:pStyle w:val="NormalWeb"/>
        <w:spacing w:beforeAutospacing="0" w:before="0" w:afterAutospacing="0" w:after="0"/>
        <w:jc w:val="both"/>
        <w:rPr/>
      </w:pPr>
      <w:r>
        <w:rPr/>
      </w:r>
    </w:p>
    <w:p>
      <w:pPr>
        <w:pStyle w:val="NormalWeb"/>
        <w:spacing w:beforeAutospacing="0" w:before="0" w:afterAutospacing="0" w:after="0"/>
        <w:jc w:val="right"/>
        <w:rPr/>
      </w:pPr>
      <w:r>
        <w:rPr/>
        <w:t>Табл.7</w:t>
      </w:r>
    </w:p>
    <w:tbl>
      <w:tblPr>
        <w:tblW w:w="8095" w:type="dxa"/>
        <w:jc w:val="left"/>
        <w:tblInd w:w="93"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5685"/>
        <w:gridCol w:w="2409"/>
      </w:tblGrid>
      <w:tr>
        <w:trPr>
          <w:trHeight w:val="315" w:hRule="atLeast"/>
        </w:trPr>
        <w:tc>
          <w:tcPr>
            <w:tcW w:w="568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Статья</w:t>
            </w:r>
          </w:p>
        </w:tc>
        <w:tc>
          <w:tcPr>
            <w:tcW w:w="2409" w:type="dxa"/>
            <w:tcBorders>
              <w:bottom w:val="double" w:sz="6" w:space="0" w:color="00000A"/>
              <w:insideH w:val="double" w:sz="6" w:space="0" w:color="00000A"/>
            </w:tcBorders>
            <w:shd w:fill="auto" w:val="clear"/>
            <w:vAlign w:val="bottom"/>
          </w:tcPr>
          <w:p>
            <w:pPr>
              <w:pStyle w:val="Normal"/>
              <w:spacing w:lineRule="auto" w:line="240" w:before="0" w:after="0"/>
              <w:jc w:val="center"/>
              <w:rPr>
                <w:b/>
                <w:b/>
                <w:bCs/>
                <w:color w:val="000000"/>
                <w:lang w:eastAsia="ru-RU"/>
              </w:rPr>
            </w:pPr>
            <w:r>
              <w:rPr>
                <w:b/>
                <w:bCs/>
                <w:color w:val="000000"/>
                <w:lang w:eastAsia="ru-RU"/>
              </w:rPr>
              <w:t>Сумма, руб</w:t>
            </w:r>
          </w:p>
        </w:tc>
      </w:tr>
      <w:tr>
        <w:trPr>
          <w:trHeight w:val="315"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Авансы поставщиками и подрядчикам            Прим.6</w:t>
            </w:r>
          </w:p>
        </w:tc>
        <w:tc>
          <w:tcPr>
            <w:tcW w:w="2409" w:type="dxa"/>
            <w:tcBorders/>
            <w:shd w:fill="auto" w:val="clear"/>
            <w:vAlign w:val="bottom"/>
          </w:tcPr>
          <w:p>
            <w:pPr>
              <w:pStyle w:val="Normal"/>
              <w:spacing w:lineRule="auto" w:line="240" w:before="0" w:after="0"/>
              <w:jc w:val="right"/>
              <w:rPr>
                <w:color w:val="000000"/>
                <w:lang w:val="en-US" w:eastAsia="ru-RU"/>
              </w:rPr>
            </w:pPr>
            <w:r>
              <w:rPr>
                <w:color w:val="000000"/>
                <w:lang w:val="en-US" w:eastAsia="ru-RU"/>
              </w:rPr>
              <w:t>238</w:t>
            </w:r>
            <w:r>
              <w:rPr>
                <w:color w:val="000000"/>
                <w:lang w:eastAsia="ru-RU"/>
              </w:rPr>
              <w:t xml:space="preserve"> </w:t>
            </w:r>
            <w:r>
              <w:rPr>
                <w:color w:val="000000"/>
                <w:lang w:val="en-US" w:eastAsia="ru-RU"/>
              </w:rPr>
              <w:t>240</w:t>
            </w:r>
            <w:r>
              <w:rPr>
                <w:color w:val="000000"/>
                <w:lang w:eastAsia="ru-RU"/>
              </w:rPr>
              <w:t xml:space="preserve"> </w:t>
            </w:r>
            <w:r>
              <w:rPr>
                <w:color w:val="000000"/>
                <w:lang w:val="en-US" w:eastAsia="ru-RU"/>
              </w:rPr>
              <w:t>359</w:t>
            </w:r>
            <w:r>
              <w:rPr>
                <w:color w:val="000000"/>
                <w:lang w:eastAsia="ru-RU"/>
              </w:rPr>
              <w:t>.</w:t>
            </w:r>
            <w:r>
              <w:rPr>
                <w:color w:val="000000"/>
                <w:lang w:val="en-US" w:eastAsia="ru-RU"/>
              </w:rPr>
              <w:t>60</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Задолженность садоводов по взносам            Прим. 7</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143 237 848.73</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Переплата по соц.взносам                                   Прим. 8</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3 151 225.72</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Расчеты по займу сотруднику                             Прим.9</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675 000.00</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Расчеты по страхованию                                       Прим.10</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30 358.86</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Расходы будущих периодов                                 Прим.10</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13 044.88</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Переплата по налогам: транспортный               Прим.10</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12 477.69</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Расчеты с покупателями и заказчиками            Прим.10</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2 800.00</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Переплата по налогам: подоходный                  Прим.10</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1 968.00</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Расчеты с персоналом                                            Прим.10</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728.00</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t>Расчеты по подотчетным суммам                       Прим.10</w:t>
            </w:r>
          </w:p>
        </w:tc>
        <w:tc>
          <w:tcPr>
            <w:tcW w:w="2409" w:type="dxa"/>
            <w:tcBorders/>
            <w:shd w:fill="auto" w:val="clear"/>
            <w:vAlign w:val="bottom"/>
          </w:tcPr>
          <w:p>
            <w:pPr>
              <w:pStyle w:val="Normal"/>
              <w:spacing w:lineRule="auto" w:line="240" w:before="0" w:after="0"/>
              <w:jc w:val="right"/>
              <w:rPr>
                <w:color w:val="000000"/>
                <w:lang w:eastAsia="ru-RU"/>
              </w:rPr>
            </w:pPr>
            <w:r>
              <w:rPr>
                <w:color w:val="000000"/>
                <w:lang w:eastAsia="ru-RU"/>
              </w:rPr>
              <w:t>271.05</w:t>
            </w:r>
          </w:p>
        </w:tc>
      </w:tr>
      <w:tr>
        <w:trPr>
          <w:trHeight w:val="300" w:hRule="atLeast"/>
        </w:trPr>
        <w:tc>
          <w:tcPr>
            <w:tcW w:w="5685" w:type="dxa"/>
            <w:tcBorders/>
            <w:shd w:fill="auto" w:val="clear"/>
            <w:vAlign w:val="bottom"/>
          </w:tcPr>
          <w:p>
            <w:pPr>
              <w:pStyle w:val="Normal"/>
              <w:spacing w:lineRule="auto" w:line="240" w:before="0" w:after="0"/>
              <w:rPr>
                <w:color w:val="000000"/>
                <w:lang w:eastAsia="ru-RU"/>
              </w:rPr>
            </w:pPr>
            <w:r>
              <w:rPr>
                <w:color w:val="000000"/>
                <w:lang w:eastAsia="ru-RU"/>
              </w:rPr>
            </w:r>
          </w:p>
        </w:tc>
        <w:tc>
          <w:tcPr>
            <w:tcW w:w="2409" w:type="dxa"/>
            <w:tcBorders/>
            <w:shd w:fill="auto" w:val="clear"/>
            <w:vAlign w:val="bottom"/>
          </w:tcPr>
          <w:p>
            <w:pPr>
              <w:pStyle w:val="Normal"/>
              <w:spacing w:lineRule="auto" w:line="240" w:before="0" w:after="0"/>
              <w:jc w:val="right"/>
              <w:rPr>
                <w:b/>
                <w:b/>
                <w:bCs/>
                <w:color w:val="000000"/>
                <w:lang w:eastAsia="ru-RU"/>
              </w:rPr>
            </w:pPr>
            <w:r>
              <w:rPr>
                <w:b/>
                <w:bCs/>
                <w:color w:val="000000"/>
                <w:lang w:eastAsia="ru-RU"/>
              </w:rPr>
              <w:t>385 366 082.53</w:t>
            </w:r>
          </w:p>
        </w:tc>
      </w:tr>
    </w:tbl>
    <w:p>
      <w:pPr>
        <w:pStyle w:val="NormalWeb"/>
        <w:spacing w:beforeAutospacing="0" w:before="0" w:afterAutospacing="0" w:after="0"/>
        <w:rPr/>
      </w:pPr>
      <w:r>
        <w:rPr/>
      </w:r>
    </w:p>
    <w:p>
      <w:pPr>
        <w:pStyle w:val="NormalWeb"/>
        <w:spacing w:beforeAutospacing="0" w:before="0" w:afterAutospacing="0" w:after="0"/>
        <w:ind w:left="-567" w:firstLine="567"/>
        <w:jc w:val="both"/>
        <w:rPr/>
      </w:pPr>
      <w:r>
        <w:rPr/>
        <w:t>6. Из суммы 238,2 млн р, отраженных в отчетности как дебиторская задолженность поставщиков и подрядчиков, 25,5 млн р таковой не является, поскольку  имеются документы о выполненных работах, поставленных товарах и оказанных услугах, отраженные в учете и сформировавшие аналогичные суммы в пассиве баланса в разделе «Кредиторская задолженность». Это техническая ошибка, которая привела к некритичному искажению отчетности. Расшифровка оставшихся сумм авансов поставщикам и подрядчикам приведено в Табл.8. Акты сверки задолженности с контрагентами отсутствуют.</w:t>
      </w:r>
    </w:p>
    <w:p>
      <w:pPr>
        <w:pStyle w:val="NormalWeb"/>
        <w:spacing w:beforeAutospacing="0" w:before="0" w:afterAutospacing="0" w:after="0"/>
        <w:jc w:val="both"/>
        <w:rPr/>
      </w:pPr>
      <w:r>
        <w:rPr/>
      </w:r>
    </w:p>
    <w:p>
      <w:pPr>
        <w:pStyle w:val="NormalWeb"/>
        <w:spacing w:beforeAutospacing="0" w:before="0" w:afterAutospacing="0" w:after="0"/>
        <w:jc w:val="right"/>
        <w:rPr/>
      </w:pPr>
      <w:r>
        <w:rPr/>
        <w:t>Табл.8</w:t>
      </w:r>
    </w:p>
    <w:p>
      <w:pPr>
        <w:pStyle w:val="Normal"/>
        <w:spacing w:lineRule="auto" w:line="240" w:before="0" w:after="0"/>
        <w:rPr>
          <w:b/>
          <w:b/>
          <w:bCs/>
          <w:color w:val="000000"/>
          <w:lang w:eastAsia="ru-RU"/>
        </w:rPr>
      </w:pPr>
      <w:r>
        <w:rPr>
          <w:b/>
          <w:bCs/>
          <w:color w:val="000000"/>
          <w:lang w:eastAsia="ru-RU"/>
        </w:rPr>
      </w:r>
    </w:p>
    <w:tbl>
      <w:tblPr>
        <w:tblW w:w="9073" w:type="dxa"/>
        <w:jc w:val="left"/>
        <w:tblInd w:w="-318" w:type="dxa"/>
        <w:tblBorders>
          <w:bottom w:val="double" w:sz="4" w:space="0" w:color="00000A"/>
          <w:insideH w:val="double" w:sz="4" w:space="0" w:color="00000A"/>
        </w:tblBorders>
        <w:tblCellMar>
          <w:top w:w="0" w:type="dxa"/>
          <w:left w:w="108" w:type="dxa"/>
          <w:bottom w:w="0" w:type="dxa"/>
          <w:right w:w="108" w:type="dxa"/>
        </w:tblCellMar>
        <w:tblLook w:noVBand="0" w:val="00a0" w:noHBand="0" w:lastColumn="0" w:firstColumn="1" w:lastRow="0" w:firstRow="1"/>
      </w:tblPr>
      <w:tblGrid>
        <w:gridCol w:w="4610"/>
        <w:gridCol w:w="2194"/>
        <w:gridCol w:w="2269"/>
      </w:tblGrid>
      <w:tr>
        <w:trPr>
          <w:trHeight w:val="315" w:hRule="atLeast"/>
        </w:trPr>
        <w:tc>
          <w:tcPr>
            <w:tcW w:w="4610" w:type="dxa"/>
            <w:tcBorders>
              <w:bottom w:val="double" w:sz="4" w:space="0" w:color="00000A"/>
              <w:insideH w:val="double" w:sz="4"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Контрагент</w:t>
            </w:r>
          </w:p>
        </w:tc>
        <w:tc>
          <w:tcPr>
            <w:tcW w:w="2194" w:type="dxa"/>
            <w:tcBorders>
              <w:bottom w:val="double" w:sz="4" w:space="0" w:color="00000A"/>
              <w:insideH w:val="double" w:sz="4"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 </w:t>
            </w:r>
          </w:p>
        </w:tc>
        <w:tc>
          <w:tcPr>
            <w:tcW w:w="2269"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Сумма ДЗ</w:t>
            </w:r>
          </w:p>
        </w:tc>
      </w:tr>
      <w:tr>
        <w:trPr>
          <w:trHeight w:val="345" w:hRule="atLeast"/>
        </w:trPr>
        <w:tc>
          <w:tcPr>
            <w:tcW w:w="4610" w:type="dxa"/>
            <w:tcBorders>
              <w:top w:val="double" w:sz="4" w:space="0" w:color="00000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"СК СТРОЙИНЖИНИРИНГ Северо-Запад"</w:t>
            </w:r>
          </w:p>
        </w:tc>
        <w:tc>
          <w:tcPr>
            <w:tcW w:w="2194" w:type="dxa"/>
            <w:tcBorders>
              <w:top w:val="double" w:sz="4" w:space="0" w:color="00000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6.1.</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112 108 500.00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Курортэнерго</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6.2.</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38 745 870.40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"Электрон-Строй"</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6.3.</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30 422 000.00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Промсервис</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6.4.</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23 314 695.99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ОАО "ЛЕНОБЛГАЗ"</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6.5.</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4 331 188.00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ИП Федоров Алексей Александрович</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6.6.</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920 000.00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"Опоракомплект"</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655 500.00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"Гейзер сервис"</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6.8.</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549 400.00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ИП Кожухова Мария Владимировна</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6.9</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400 000.00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ОАО "Петербургская сбытовая компания"</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6.10.</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373 591.35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ИП Берсенев Сергей Валерьевич</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6.11.</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300 000.00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Полный привод</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6.12.</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193 250.00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ЛОНМАДИ</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xml:space="preserve">  </w:t>
            </w:r>
            <w:r>
              <w:rPr>
                <w:rFonts w:cs="Arial" w:ascii="Arial" w:hAnsi="Arial"/>
                <w:sz w:val="18"/>
                <w:szCs w:val="18"/>
                <w:lang w:eastAsia="ru-RU"/>
              </w:rPr>
              <w:t>Прим. 6.13.</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106 469.53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ПЕТРОМЕТАЛЛ</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50 000.00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ИП Бурлаков Д.А.</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45 000.00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"КиТ-Энерго"</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46 046.15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ПАО "Мобильные ТелеСистемы"</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28 176.21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"Панорама ЭКСПО"</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27 000.00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Сфера</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20 000.00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"Аспект СФТ"</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19 776.00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"Альянс"</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15 512.50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ИП Романов</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14 190.00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Почта России</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8 496.00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ЗАО "Бонниер Бизнес Пресс"</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5 482.76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"Партнер АСЦ"</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3 562.00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ОАО "Мобильные ТелеСистемы"</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620.00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Комус-Петербург</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296.35 </w:t>
            </w:r>
          </w:p>
        </w:tc>
      </w:tr>
      <w:tr>
        <w:trPr>
          <w:trHeight w:val="300" w:hRule="atLeast"/>
        </w:trPr>
        <w:tc>
          <w:tcPr>
            <w:tcW w:w="4610"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Ди-Ви-Эр</w:t>
            </w:r>
          </w:p>
        </w:tc>
        <w:tc>
          <w:tcPr>
            <w:tcW w:w="2194" w:type="dxa"/>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6.17.</w:t>
            </w:r>
          </w:p>
        </w:tc>
        <w:tc>
          <w:tcPr>
            <w:tcW w:w="2269" w:type="dxa"/>
            <w:tcBorders/>
            <w:shd w:fill="auto" w:val="clear"/>
            <w:vAlign w:val="bottom"/>
          </w:tcPr>
          <w:p>
            <w:pPr>
              <w:pStyle w:val="Normal"/>
              <w:spacing w:lineRule="auto" w:line="240" w:before="0" w:after="0"/>
              <w:jc w:val="right"/>
              <w:rPr>
                <w:color w:val="000000"/>
                <w:lang w:eastAsia="ru-RU"/>
              </w:rPr>
            </w:pPr>
            <w:r>
              <w:rPr>
                <w:color w:val="000000"/>
                <w:lang w:eastAsia="ru-RU"/>
              </w:rPr>
              <w:t xml:space="preserve">180.00 </w:t>
            </w:r>
          </w:p>
        </w:tc>
      </w:tr>
    </w:tbl>
    <w:p>
      <w:pPr>
        <w:pStyle w:val="Normal"/>
        <w:rPr>
          <w:b/>
          <w:b/>
          <w:bCs/>
          <w:color w:val="000000"/>
          <w:lang w:eastAsia="ru-RU"/>
        </w:rPr>
      </w:pPr>
      <w:r>
        <w:rPr/>
        <w:tab/>
        <w:tab/>
        <w:tab/>
        <w:tab/>
        <w:tab/>
        <w:tab/>
        <w:tab/>
        <w:tab/>
        <w:tab/>
        <w:tab/>
      </w:r>
      <w:r>
        <w:rPr>
          <w:b/>
          <w:bCs/>
          <w:color w:val="000000"/>
          <w:lang w:eastAsia="ru-RU"/>
        </w:rPr>
        <w:t xml:space="preserve">212 704 803.24 </w:t>
      </w:r>
    </w:p>
    <w:p>
      <w:pPr>
        <w:pStyle w:val="NormalWeb"/>
        <w:spacing w:beforeAutospacing="0" w:before="0" w:afterAutospacing="0" w:after="0"/>
        <w:rPr/>
      </w:pPr>
      <w:r>
        <w:rPr/>
      </w:r>
    </w:p>
    <w:p>
      <w:pPr>
        <w:pStyle w:val="NormalWeb"/>
        <w:spacing w:beforeAutospacing="0" w:before="0" w:afterAutospacing="0" w:after="0"/>
        <w:jc w:val="both"/>
        <w:rPr>
          <w:lang w:val="en-US"/>
        </w:rPr>
      </w:pPr>
      <w:r>
        <w:rPr>
          <w:lang w:val="en-US"/>
        </w:rPr>
      </w:r>
    </w:p>
    <w:p>
      <w:pPr>
        <w:pStyle w:val="NormalWeb"/>
        <w:spacing w:beforeAutospacing="0" w:before="0" w:afterAutospacing="0" w:after="0"/>
        <w:ind w:left="-567" w:firstLine="567"/>
        <w:jc w:val="both"/>
        <w:rPr/>
      </w:pPr>
      <w:r>
        <w:rPr/>
        <w:t>6.1. Состояние расчетов с контрагентом ООО "СК СТРОЙИНЖИНИРИНГ Северо-Запад" представлено в Табл.9</w:t>
      </w:r>
    </w:p>
    <w:p>
      <w:pPr>
        <w:pStyle w:val="NormalWeb"/>
        <w:spacing w:beforeAutospacing="0" w:before="0" w:afterAutospacing="0" w:after="0"/>
        <w:jc w:val="right"/>
        <w:rPr/>
      </w:pPr>
      <w:r>
        <w:rPr/>
        <w:t>Табл.9</w:t>
      </w:r>
    </w:p>
    <w:p>
      <w:pPr>
        <w:pStyle w:val="NormalWeb"/>
        <w:spacing w:beforeAutospacing="0" w:before="0" w:afterAutospacing="0" w:after="0"/>
        <w:jc w:val="both"/>
        <w:rPr/>
      </w:pPr>
      <w:r>
        <w:rPr/>
      </w:r>
    </w:p>
    <w:tbl>
      <w:tblPr>
        <w:tblW w:w="11199" w:type="dxa"/>
        <w:jc w:val="left"/>
        <w:tblInd w:w="-1026"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1275"/>
        <w:gridCol w:w="1276"/>
        <w:gridCol w:w="1246"/>
        <w:gridCol w:w="1276"/>
        <w:gridCol w:w="2835"/>
        <w:gridCol w:w="1275"/>
        <w:gridCol w:w="2015"/>
      </w:tblGrid>
      <w:tr>
        <w:trPr>
          <w:trHeight w:val="615" w:hRule="atLeast"/>
        </w:trPr>
        <w:tc>
          <w:tcPr>
            <w:tcW w:w="127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Номер договора</w:t>
            </w:r>
          </w:p>
        </w:tc>
        <w:tc>
          <w:tcPr>
            <w:tcW w:w="1276"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Оплачено</w:t>
            </w:r>
          </w:p>
        </w:tc>
        <w:tc>
          <w:tcPr>
            <w:tcW w:w="1246"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Принято работ</w:t>
            </w:r>
          </w:p>
        </w:tc>
        <w:tc>
          <w:tcPr>
            <w:tcW w:w="1276"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Остаток</w:t>
            </w:r>
          </w:p>
        </w:tc>
        <w:tc>
          <w:tcPr>
            <w:tcW w:w="283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Предмет договора</w:t>
            </w:r>
          </w:p>
        </w:tc>
        <w:tc>
          <w:tcPr>
            <w:tcW w:w="127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Сумма договора</w:t>
            </w:r>
          </w:p>
        </w:tc>
        <w:tc>
          <w:tcPr>
            <w:tcW w:w="201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Примечание</w:t>
            </w:r>
          </w:p>
        </w:tc>
      </w:tr>
      <w:tr>
        <w:trPr>
          <w:trHeight w:val="480" w:hRule="atLeast"/>
        </w:trPr>
        <w:tc>
          <w:tcPr>
            <w:tcW w:w="1275" w:type="dxa"/>
            <w:tcBorders>
              <w:top w:val="double" w:sz="6"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ВЛИ-04кВ №22/10 от 22.10.2013</w:t>
            </w:r>
          </w:p>
        </w:tc>
        <w:tc>
          <w:tcPr>
            <w:tcW w:w="1276"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5 800 000.00</w:t>
            </w:r>
          </w:p>
        </w:tc>
        <w:tc>
          <w:tcPr>
            <w:tcW w:w="1246"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5 800 000.00 </w:t>
            </w:r>
          </w:p>
        </w:tc>
        <w:tc>
          <w:tcPr>
            <w:tcW w:w="2835"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double" w:sz="6"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91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28/11 от 20.11.2013</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22 450 000.00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22 450 000.00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Монтаж линий 04-КВ протяженностью 22000 м и осветительного оборудования на электрических опорах в период с 03/12/2013 по 30/12/2014</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16 500 000.00</w:t>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Сумма договора меньше суммы оплаты, отсутствует смета, предусмотренная текстом договора</w:t>
            </w:r>
          </w:p>
        </w:tc>
      </w:tr>
      <w:tr>
        <w:trPr>
          <w:trHeight w:val="91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31-02 от 25.02.2014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18 750 000.00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18 750 000.00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Исправление профиля и расчистка водоотводящих канав построенной дороги 22000 метров в период с 25/02/2014 по 25/12/2014</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15 000 000.00</w:t>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оформлен, сумма договора меньше суммы оплаты, отсутствует ТЗ, работы не приняты</w:t>
            </w:r>
          </w:p>
        </w:tc>
      </w:tr>
      <w:tr>
        <w:trPr>
          <w:trHeight w:val="30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05-03 от 25.02.2014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8 050 000.00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8 050 000.00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30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02-04/1 от 02.04.2014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12 000 000.00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12 000 000.00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69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10-04 от 10.04.2014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19 950 000.00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-19 950 000.00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Вывоз грунта (торфа) с земельных участков садоводов в период с 10/04/2014 по 11/03/2015</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19 950 000.00</w:t>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оформлен, отсутствуют сведения об объемах, не предоставлен акт выполненных работ</w:t>
            </w:r>
          </w:p>
        </w:tc>
      </w:tr>
      <w:tr>
        <w:trPr>
          <w:trHeight w:val="46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Счет №8 от 01.10.2014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858 500.00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858 500.00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(счет) не представлен. Работы не приняты</w:t>
            </w:r>
          </w:p>
        </w:tc>
      </w:tr>
      <w:tr>
        <w:trPr>
          <w:trHeight w:val="30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025-03 от 25.11.2014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5 500 000.00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5 500 000.00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136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 xml:space="preserve">650/02-02 от 02.02.2015 </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770 000.00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-770 000.00</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Проведение землеустроительных работ по определению на местности проектируемого участка дороги и проведение топографической съемки земельного участка 12га в период с 02/02/2015 по 02/03/2015</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770 000.00</w:t>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Отсутствует предусмотренная договором схема (ТЗ), отчет исполнитель, не предоставлен акт выполненных работ</w:t>
            </w:r>
          </w:p>
        </w:tc>
      </w:tr>
      <w:tr>
        <w:trPr>
          <w:trHeight w:val="30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109/4 от 02.03.2015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14 530 000.00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14 530 000.00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30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199/3 от 01.12.2014</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560 000.00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560 000.00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30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301/2 от 01.04.2015</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2 400 000.00</w:t>
            </w:r>
          </w:p>
        </w:tc>
        <w:tc>
          <w:tcPr>
            <w:tcW w:w="12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2 400 000.00 </w:t>
            </w:r>
          </w:p>
        </w:tc>
        <w:tc>
          <w:tcPr>
            <w:tcW w:w="28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300" w:hRule="atLeast"/>
        </w:trPr>
        <w:tc>
          <w:tcPr>
            <w:tcW w:w="1275" w:type="dxa"/>
            <w:tcBorders>
              <w:top w:val="single" w:sz="4" w:space="0" w:color="00000A"/>
              <w:right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378/8/15</w:t>
            </w:r>
          </w:p>
        </w:tc>
        <w:tc>
          <w:tcPr>
            <w:tcW w:w="1276"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21 210 000.00</w:t>
            </w:r>
          </w:p>
        </w:tc>
        <w:tc>
          <w:tcPr>
            <w:tcW w:w="1246"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21 210 000.00 </w:t>
            </w:r>
          </w:p>
        </w:tc>
        <w:tc>
          <w:tcPr>
            <w:tcW w:w="2835"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top w:val="single" w:sz="4" w:space="0" w:color="00000A"/>
              <w:left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300" w:hRule="atLeast"/>
        </w:trPr>
        <w:tc>
          <w:tcPr>
            <w:tcW w:w="1275" w:type="dx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shd w:fill="auto" w:val="clear"/>
            <w:vAlign w:val="bottom"/>
          </w:tcPr>
          <w:p>
            <w:pPr>
              <w:pStyle w:val="Normal"/>
              <w:spacing w:lineRule="auto" w:line="240" w:before="0" w:after="0"/>
              <w:jc w:val="right"/>
              <w:rPr>
                <w:b/>
                <w:b/>
                <w:bCs/>
                <w:color w:val="000000"/>
                <w:sz w:val="16"/>
                <w:szCs w:val="16"/>
                <w:lang w:eastAsia="ru-RU"/>
              </w:rPr>
            </w:pPr>
            <w:r>
              <w:rPr>
                <w:b/>
                <w:bCs/>
                <w:color w:val="000000"/>
                <w:sz w:val="16"/>
                <w:szCs w:val="16"/>
                <w:lang w:eastAsia="ru-RU"/>
              </w:rPr>
              <w:t xml:space="preserve">132 828 500.00 </w:t>
            </w:r>
          </w:p>
        </w:tc>
        <w:tc>
          <w:tcPr>
            <w:tcW w:w="1246" w:type="dxa"/>
            <w:tcBorders/>
            <w:shd w:fill="auto" w:val="clear"/>
            <w:vAlign w:val="bottom"/>
          </w:tcPr>
          <w:p>
            <w:pPr>
              <w:pStyle w:val="Normal"/>
              <w:spacing w:lineRule="auto" w:line="240" w:before="0" w:after="0"/>
              <w:jc w:val="right"/>
              <w:rPr>
                <w:b/>
                <w:b/>
                <w:bCs/>
                <w:color w:val="000000"/>
                <w:sz w:val="16"/>
                <w:szCs w:val="16"/>
                <w:lang w:eastAsia="ru-RU"/>
              </w:rPr>
            </w:pPr>
            <w:r>
              <w:rPr>
                <w:b/>
                <w:bCs/>
                <w:color w:val="FF0000"/>
                <w:sz w:val="16"/>
                <w:szCs w:val="16"/>
                <w:lang w:eastAsia="ru-RU"/>
              </w:rPr>
              <w:t xml:space="preserve">-20 720 000.00 </w:t>
            </w:r>
          </w:p>
        </w:tc>
        <w:tc>
          <w:tcPr>
            <w:tcW w:w="1276" w:type="dxa"/>
            <w:tcBorders/>
            <w:shd w:fill="auto" w:val="clear"/>
            <w:vAlign w:val="bottom"/>
          </w:tcPr>
          <w:p>
            <w:pPr>
              <w:pStyle w:val="Normal"/>
              <w:spacing w:lineRule="auto" w:line="240" w:before="0" w:after="0"/>
              <w:jc w:val="right"/>
              <w:rPr>
                <w:b/>
                <w:b/>
                <w:bCs/>
                <w:color w:val="000000"/>
                <w:sz w:val="16"/>
                <w:szCs w:val="16"/>
                <w:lang w:eastAsia="ru-RU"/>
              </w:rPr>
            </w:pPr>
            <w:r>
              <w:rPr>
                <w:b/>
                <w:bCs/>
                <w:color w:val="000000"/>
                <w:sz w:val="16"/>
                <w:szCs w:val="16"/>
                <w:lang w:eastAsia="ru-RU"/>
              </w:rPr>
              <w:t xml:space="preserve">112 108 500.00 </w:t>
            </w:r>
          </w:p>
        </w:tc>
        <w:tc>
          <w:tcPr>
            <w:tcW w:w="2835" w:type="dx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5" w:type="dx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015" w:type="dx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r>
          </w:p>
        </w:tc>
      </w:tr>
      <w:tr>
        <w:trPr>
          <w:trHeight w:val="300" w:hRule="atLeast"/>
        </w:trPr>
        <w:tc>
          <w:tcPr>
            <w:tcW w:w="1275" w:type="dxa"/>
            <w:tcBorders/>
            <w:shd w:fill="auto" w:val="clear"/>
            <w:vAlign w:val="bottom"/>
          </w:tcPr>
          <w:p>
            <w:pPr>
              <w:pStyle w:val="Normal"/>
              <w:spacing w:lineRule="auto" w:line="240" w:before="0" w:after="0"/>
              <w:rPr>
                <w:color w:val="000000"/>
                <w:lang w:eastAsia="ru-RU"/>
              </w:rPr>
            </w:pPr>
            <w:r>
              <w:rPr>
                <w:color w:val="000000"/>
                <w:lang w:eastAsia="ru-RU"/>
              </w:rPr>
            </w:r>
          </w:p>
        </w:tc>
        <w:tc>
          <w:tcPr>
            <w:tcW w:w="1276" w:type="dxa"/>
            <w:tcBorders/>
            <w:shd w:fill="auto" w:val="clear"/>
            <w:vAlign w:val="bottom"/>
          </w:tcPr>
          <w:p>
            <w:pPr>
              <w:pStyle w:val="Normal"/>
              <w:spacing w:lineRule="auto" w:line="240" w:before="0" w:after="0"/>
              <w:rPr>
                <w:color w:val="000000"/>
                <w:lang w:eastAsia="ru-RU"/>
              </w:rPr>
            </w:pPr>
            <w:r>
              <w:rPr>
                <w:color w:val="000000"/>
                <w:lang w:eastAsia="ru-RU"/>
              </w:rPr>
            </w:r>
          </w:p>
        </w:tc>
        <w:tc>
          <w:tcPr>
            <w:tcW w:w="1246" w:type="dxa"/>
            <w:tcBorders/>
            <w:shd w:fill="auto" w:val="clear"/>
            <w:vAlign w:val="bottom"/>
          </w:tcPr>
          <w:p>
            <w:pPr>
              <w:pStyle w:val="Normal"/>
              <w:spacing w:lineRule="auto" w:line="240" w:before="0" w:after="0"/>
              <w:rPr>
                <w:color w:val="000000"/>
                <w:lang w:eastAsia="ru-RU"/>
              </w:rPr>
            </w:pPr>
            <w:r>
              <w:rPr>
                <w:color w:val="000000"/>
                <w:lang w:eastAsia="ru-RU"/>
              </w:rPr>
            </w:r>
          </w:p>
        </w:tc>
        <w:tc>
          <w:tcPr>
            <w:tcW w:w="1276" w:type="dxa"/>
            <w:tcBorders/>
            <w:shd w:fill="auto" w:val="clear"/>
            <w:vAlign w:val="bottom"/>
          </w:tcPr>
          <w:p>
            <w:pPr>
              <w:pStyle w:val="Normal"/>
              <w:spacing w:lineRule="auto" w:line="240" w:before="0" w:after="0"/>
              <w:rPr>
                <w:color w:val="000000"/>
                <w:lang w:eastAsia="ru-RU"/>
              </w:rPr>
            </w:pPr>
            <w:r>
              <w:rPr>
                <w:color w:val="000000"/>
                <w:lang w:eastAsia="ru-RU"/>
              </w:rPr>
            </w:r>
          </w:p>
        </w:tc>
        <w:tc>
          <w:tcPr>
            <w:tcW w:w="2835" w:type="dxa"/>
            <w:tcBorders/>
            <w:shd w:fill="auto" w:val="clear"/>
            <w:vAlign w:val="bottom"/>
          </w:tcPr>
          <w:p>
            <w:pPr>
              <w:pStyle w:val="Normal"/>
              <w:spacing w:lineRule="auto" w:line="240" w:before="0" w:after="0"/>
              <w:rPr>
                <w:color w:val="000000"/>
                <w:lang w:eastAsia="ru-RU"/>
              </w:rPr>
            </w:pPr>
            <w:r>
              <w:rPr>
                <w:color w:val="000000"/>
                <w:lang w:eastAsia="ru-RU"/>
              </w:rPr>
            </w:r>
          </w:p>
        </w:tc>
        <w:tc>
          <w:tcPr>
            <w:tcW w:w="1275" w:type="dxa"/>
            <w:tcBorders/>
            <w:shd w:fill="auto" w:val="clear"/>
            <w:vAlign w:val="bottom"/>
          </w:tcPr>
          <w:p>
            <w:pPr>
              <w:pStyle w:val="Normal"/>
              <w:spacing w:lineRule="auto" w:line="240" w:before="0" w:after="0"/>
              <w:rPr>
                <w:color w:val="000000"/>
                <w:lang w:eastAsia="ru-RU"/>
              </w:rPr>
            </w:pPr>
            <w:r>
              <w:rPr>
                <w:color w:val="000000"/>
                <w:lang w:eastAsia="ru-RU"/>
              </w:rPr>
            </w:r>
          </w:p>
        </w:tc>
        <w:tc>
          <w:tcPr>
            <w:tcW w:w="2015" w:type="dxa"/>
            <w:tcBorders/>
            <w:shd w:fill="auto" w:val="clear"/>
            <w:vAlign w:val="bottom"/>
          </w:tcPr>
          <w:p>
            <w:pPr>
              <w:pStyle w:val="Normal"/>
              <w:spacing w:lineRule="auto" w:line="240" w:before="0" w:after="0"/>
              <w:rPr>
                <w:color w:val="000000"/>
                <w:lang w:eastAsia="ru-RU"/>
              </w:rPr>
            </w:pPr>
            <w:r>
              <w:rPr>
                <w:color w:val="000000"/>
                <w:lang w:eastAsia="ru-RU"/>
              </w:rPr>
            </w:r>
          </w:p>
        </w:tc>
      </w:tr>
    </w:tbl>
    <w:p>
      <w:pPr>
        <w:pStyle w:val="NormalWeb"/>
        <w:spacing w:beforeAutospacing="0" w:before="0" w:afterAutospacing="0" w:after="0"/>
        <w:ind w:left="-567" w:hanging="0"/>
        <w:jc w:val="both"/>
        <w:rPr/>
      </w:pPr>
      <w:r>
        <w:rPr/>
        <w:t xml:space="preserve">         </w:t>
      </w:r>
      <w:r>
        <w:rPr/>
        <w:t>6.2.  С контрагентом ЗАО «Курортэнерго» заключен договор № ПМ 855/362-КЭ-10 об осуществлении технологического присоединения к сетям от 16/11/2010. Технологическое подключение осуществляется на уровне напряжения 10кВ, по 3 (третьей) категории надежности электроснабжения, в пределах заявленной мощности потребления 4250 кВт/4775 кВа. Общая стоимость услуг по договору  составляет 157 205 205 рублей. На отчетную дату оплачено 38 745 870-40 рублей. Установленный договором график оплаты нарушен, документы о ходе выполнения работ не предоставлены.</w:t>
      </w:r>
    </w:p>
    <w:p>
      <w:pPr>
        <w:pStyle w:val="NormalWeb"/>
        <w:spacing w:beforeAutospacing="0" w:before="0" w:afterAutospacing="0" w:after="0"/>
        <w:jc w:val="both"/>
        <w:rPr/>
      </w:pPr>
      <w:r>
        <w:rPr/>
      </w:r>
    </w:p>
    <w:p>
      <w:pPr>
        <w:pStyle w:val="NormalWeb"/>
        <w:spacing w:beforeAutospacing="0" w:before="0" w:afterAutospacing="0" w:after="0"/>
        <w:ind w:left="-284" w:firstLine="284"/>
        <w:jc w:val="both"/>
        <w:rPr/>
      </w:pPr>
      <w:r>
        <w:rPr/>
        <w:t>6.3. Состояние расчетов с контрагентом ООО "Электрон-Строй" представлено в Табл.10</w:t>
      </w:r>
    </w:p>
    <w:p>
      <w:pPr>
        <w:pStyle w:val="NormalWeb"/>
        <w:spacing w:beforeAutospacing="0" w:before="0" w:afterAutospacing="0" w:after="0"/>
        <w:ind w:left="-284" w:firstLine="284"/>
        <w:jc w:val="both"/>
        <w:rPr/>
      </w:pPr>
      <w:r>
        <w:rPr/>
      </w:r>
    </w:p>
    <w:p>
      <w:pPr>
        <w:pStyle w:val="NormalWeb"/>
        <w:spacing w:beforeAutospacing="0" w:before="0" w:afterAutospacing="0" w:after="0"/>
        <w:ind w:left="-284" w:firstLine="284"/>
        <w:jc w:val="right"/>
        <w:rPr/>
      </w:pPr>
      <w:r>
        <w:rPr/>
        <w:t>Табл.10</w:t>
      </w:r>
    </w:p>
    <w:tbl>
      <w:tblPr>
        <w:tblW w:w="10460" w:type="dxa"/>
        <w:jc w:val="left"/>
        <w:tblInd w:w="-885"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1859"/>
        <w:gridCol w:w="1421"/>
        <w:gridCol w:w="1920"/>
        <w:gridCol w:w="1680"/>
        <w:gridCol w:w="3580"/>
      </w:tblGrid>
      <w:tr>
        <w:trPr>
          <w:trHeight w:val="615" w:hRule="atLeast"/>
        </w:trPr>
        <w:tc>
          <w:tcPr>
            <w:tcW w:w="1859"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Номер договора</w:t>
            </w:r>
          </w:p>
        </w:tc>
        <w:tc>
          <w:tcPr>
            <w:tcW w:w="1421"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Оплачено</w:t>
            </w:r>
          </w:p>
        </w:tc>
        <w:tc>
          <w:tcPr>
            <w:tcW w:w="1920"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Предмет договора</w:t>
            </w:r>
          </w:p>
        </w:tc>
        <w:tc>
          <w:tcPr>
            <w:tcW w:w="1680"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Сумма договора</w:t>
            </w:r>
          </w:p>
        </w:tc>
        <w:tc>
          <w:tcPr>
            <w:tcW w:w="3580"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Примечание</w:t>
            </w:r>
          </w:p>
        </w:tc>
      </w:tr>
      <w:tr>
        <w:trPr>
          <w:trHeight w:val="480" w:hRule="atLeast"/>
        </w:trPr>
        <w:tc>
          <w:tcPr>
            <w:tcW w:w="1859" w:type="dxa"/>
            <w:tcBorders>
              <w:top w:val="double" w:sz="6"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 xml:space="preserve">12/14 от 01.12.2014 </w:t>
            </w:r>
          </w:p>
        </w:tc>
        <w:tc>
          <w:tcPr>
            <w:tcW w:w="1421"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1 500 000.00</w:t>
            </w:r>
          </w:p>
        </w:tc>
        <w:tc>
          <w:tcPr>
            <w:tcW w:w="1920"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680"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3580" w:type="dxa"/>
            <w:tcBorders>
              <w:top w:val="double" w:sz="6"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1365" w:hRule="atLeast"/>
        </w:trPr>
        <w:tc>
          <w:tcPr>
            <w:tcW w:w="1859"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201/5 от 26.03.2015</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18 778 000.00</w:t>
            </w:r>
          </w:p>
        </w:tc>
        <w:tc>
          <w:tcPr>
            <w:tcW w:w="19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Исправление профиля и расчистка водоотводящих канав построенной дороги 22000 м с 26/03/2015 по 26/03/2017</w:t>
            </w:r>
          </w:p>
        </w:tc>
        <w:tc>
          <w:tcPr>
            <w:tcW w:w="1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4 500 000.00</w:t>
            </w:r>
          </w:p>
        </w:tc>
        <w:tc>
          <w:tcPr>
            <w:tcW w:w="3580"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Сумма договора меньше суммы оплаты, отсутствует смета, отсутствуют данные о выполнении работ, работы не приняты</w:t>
            </w:r>
          </w:p>
        </w:tc>
      </w:tr>
      <w:tr>
        <w:trPr>
          <w:trHeight w:val="915" w:hRule="atLeast"/>
        </w:trPr>
        <w:tc>
          <w:tcPr>
            <w:tcW w:w="1859"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37/3 от 20.04.2015</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4 000 000.00</w:t>
            </w:r>
          </w:p>
        </w:tc>
        <w:tc>
          <w:tcPr>
            <w:tcW w:w="19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3580"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представлен. Работы не приняты</w:t>
            </w:r>
          </w:p>
        </w:tc>
      </w:tr>
      <w:tr>
        <w:trPr>
          <w:trHeight w:val="915" w:hRule="atLeast"/>
        </w:trPr>
        <w:tc>
          <w:tcPr>
            <w:tcW w:w="1859"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38/3 от 03.12.2015</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2 444 000.00</w:t>
            </w:r>
          </w:p>
        </w:tc>
        <w:tc>
          <w:tcPr>
            <w:tcW w:w="19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Монтаж линий ВЛ-4 протяженностью 5000 м с 03/12/2015 по 03/12/2016</w:t>
            </w:r>
          </w:p>
        </w:tc>
        <w:tc>
          <w:tcPr>
            <w:tcW w:w="1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5 000 000.00</w:t>
            </w:r>
          </w:p>
        </w:tc>
        <w:tc>
          <w:tcPr>
            <w:tcW w:w="3580"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Отсутствуют ТЗ, смета</w:t>
            </w:r>
          </w:p>
        </w:tc>
      </w:tr>
      <w:tr>
        <w:trPr>
          <w:trHeight w:val="776" w:hRule="atLeast"/>
        </w:trPr>
        <w:tc>
          <w:tcPr>
            <w:tcW w:w="1859"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2012 от 21.11.2015</w:t>
            </w:r>
          </w:p>
        </w:tc>
        <w:tc>
          <w:tcPr>
            <w:tcW w:w="1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700 000.00</w:t>
            </w:r>
          </w:p>
        </w:tc>
        <w:tc>
          <w:tcPr>
            <w:tcW w:w="19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Установка электрических деревянных опор 200 шт с 21/11/2015 по 25/12/2016</w:t>
            </w:r>
          </w:p>
        </w:tc>
        <w:tc>
          <w:tcPr>
            <w:tcW w:w="16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4 800 000.00</w:t>
            </w:r>
          </w:p>
        </w:tc>
        <w:tc>
          <w:tcPr>
            <w:tcW w:w="3580"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24000 р за установку одной опоры без стоимости самой опоры. Акты передачи опор не представлены, данные о ходе работ отсутствуют</w:t>
            </w:r>
          </w:p>
        </w:tc>
      </w:tr>
      <w:tr>
        <w:trPr>
          <w:trHeight w:val="1365" w:hRule="atLeast"/>
        </w:trPr>
        <w:tc>
          <w:tcPr>
            <w:tcW w:w="1859" w:type="dxa"/>
            <w:tcBorders>
              <w:top w:val="single" w:sz="4" w:space="0" w:color="00000A"/>
              <w:right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 xml:space="preserve">1912 от 03.12.2015 </w:t>
            </w:r>
          </w:p>
        </w:tc>
        <w:tc>
          <w:tcPr>
            <w:tcW w:w="1421"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3 000 000.00</w:t>
            </w:r>
          </w:p>
        </w:tc>
        <w:tc>
          <w:tcPr>
            <w:tcW w:w="1920"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Поставка и строительство одного КТПН (без установки фундамента) до 10/04/2016</w:t>
            </w:r>
          </w:p>
        </w:tc>
        <w:tc>
          <w:tcPr>
            <w:tcW w:w="1680"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8 500 000.00</w:t>
            </w:r>
          </w:p>
        </w:tc>
        <w:tc>
          <w:tcPr>
            <w:tcW w:w="3580" w:type="dxa"/>
            <w:tcBorders>
              <w:top w:val="single" w:sz="4" w:space="0" w:color="00000A"/>
              <w:left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представлена проектная документация, предусмотренная текстом договора, отсутствует смета</w:t>
            </w:r>
          </w:p>
        </w:tc>
      </w:tr>
      <w:tr>
        <w:trPr>
          <w:trHeight w:val="465" w:hRule="atLeast"/>
        </w:trPr>
        <w:tc>
          <w:tcPr>
            <w:tcW w:w="1859" w:type="dxa"/>
            <w:tcBorders/>
            <w:shd w:fill="auto" w:val="clear"/>
            <w:vAlign w:val="bottom"/>
          </w:tcPr>
          <w:p>
            <w:pPr>
              <w:pStyle w:val="Normal"/>
              <w:spacing w:lineRule="auto" w:line="240" w:before="0" w:after="0"/>
              <w:rPr>
                <w:color w:val="000000"/>
                <w:lang w:eastAsia="ru-RU"/>
              </w:rPr>
            </w:pPr>
            <w:r>
              <w:rPr>
                <w:color w:val="000000"/>
                <w:lang w:eastAsia="ru-RU"/>
              </w:rPr>
            </w:r>
          </w:p>
        </w:tc>
        <w:tc>
          <w:tcPr>
            <w:tcW w:w="1421" w:type="dxa"/>
            <w:tcBorders/>
            <w:shd w:fill="auto" w:val="clear"/>
            <w:vAlign w:val="bottom"/>
          </w:tcPr>
          <w:p>
            <w:pPr>
              <w:pStyle w:val="Normal"/>
              <w:spacing w:lineRule="auto" w:line="240" w:before="0" w:after="0"/>
              <w:jc w:val="right"/>
              <w:rPr>
                <w:b/>
                <w:b/>
                <w:bCs/>
                <w:color w:val="000000"/>
                <w:sz w:val="16"/>
                <w:szCs w:val="16"/>
                <w:lang w:eastAsia="ru-RU"/>
              </w:rPr>
            </w:pPr>
            <w:r>
              <w:rPr>
                <w:b/>
                <w:bCs/>
                <w:color w:val="000000"/>
                <w:sz w:val="16"/>
                <w:szCs w:val="16"/>
                <w:lang w:eastAsia="ru-RU"/>
              </w:rPr>
              <w:t xml:space="preserve">30 422 000.00 </w:t>
            </w:r>
          </w:p>
        </w:tc>
        <w:tc>
          <w:tcPr>
            <w:tcW w:w="1920" w:type="dxa"/>
            <w:tcBorders/>
            <w:shd w:fill="auto" w:val="clear"/>
            <w:vAlign w:val="bottom"/>
          </w:tcPr>
          <w:p>
            <w:pPr>
              <w:pStyle w:val="Normal"/>
              <w:spacing w:lineRule="auto" w:line="240" w:before="0" w:after="0"/>
              <w:rPr>
                <w:color w:val="000000"/>
                <w:lang w:eastAsia="ru-RU"/>
              </w:rPr>
            </w:pPr>
            <w:r>
              <w:rPr>
                <w:color w:val="000000"/>
                <w:lang w:eastAsia="ru-RU"/>
              </w:rPr>
            </w:r>
          </w:p>
        </w:tc>
        <w:tc>
          <w:tcPr>
            <w:tcW w:w="1680" w:type="dx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3580" w:type="dxa"/>
            <w:tcBorders/>
            <w:shd w:fill="auto" w:val="clear"/>
            <w:vAlign w:val="bottom"/>
          </w:tcPr>
          <w:p>
            <w:pPr>
              <w:pStyle w:val="Normal"/>
              <w:spacing w:lineRule="auto" w:line="240" w:before="0" w:after="0"/>
              <w:rPr>
                <w:color w:val="000000"/>
                <w:lang w:eastAsia="ru-RU"/>
              </w:rPr>
            </w:pPr>
            <w:r>
              <w:rPr>
                <w:color w:val="000000"/>
                <w:lang w:eastAsia="ru-RU"/>
              </w:rPr>
            </w:r>
          </w:p>
        </w:tc>
      </w:tr>
    </w:tbl>
    <w:p>
      <w:pPr>
        <w:pStyle w:val="NormalWeb"/>
        <w:spacing w:beforeAutospacing="0" w:before="0" w:afterAutospacing="0" w:after="0"/>
        <w:ind w:left="-284" w:firstLine="284"/>
        <w:jc w:val="right"/>
        <w:rPr/>
      </w:pPr>
      <w:r>
        <w:rPr/>
      </w:r>
    </w:p>
    <w:p>
      <w:pPr>
        <w:pStyle w:val="NormalWeb"/>
        <w:spacing w:beforeAutospacing="0" w:before="0" w:afterAutospacing="0" w:after="0"/>
        <w:ind w:left="-567" w:hanging="0"/>
        <w:jc w:val="both"/>
        <w:rPr/>
      </w:pPr>
      <w:r>
        <w:rPr/>
        <w:t xml:space="preserve"> </w:t>
      </w:r>
      <w:r>
        <w:rPr/>
        <w:t xml:space="preserve">6.4. С контрагентом ООО «Промсервис» заключен договор подряда б/н от 19.03.2013  на проектирование и строительство сети внутреннего электроснабжения территории СНП. Общая стоимость договора составляет 23 599 363 р, из них оплачено 23 089 681-50 р. Техническое задание, протокол согласования цены, сметный расчет и график работ, предусмотренные договором, не предоставлены. График оплаты, предусмотренный договором, нарушен. Документов о ходе работ и сверки расчетов, не предоставлено. Работы не приняты. </w:t>
      </w:r>
    </w:p>
    <w:p>
      <w:pPr>
        <w:pStyle w:val="NormalWeb"/>
        <w:spacing w:beforeAutospacing="0" w:before="0" w:afterAutospacing="0" w:after="0"/>
        <w:ind w:left="-567" w:hanging="0"/>
        <w:jc w:val="both"/>
        <w:rPr/>
      </w:pPr>
      <w:r>
        <w:rPr/>
        <w:t xml:space="preserve">      </w:t>
      </w:r>
      <w:r>
        <w:rPr/>
        <w:t xml:space="preserve">Также с контрагентом ООО «Промсервис» заключен договор на эксплуатационное обслуживание 1403/Э от 14.03.2014. Договор не предоставлен. Оплачено по договору 225 014-49 р. Работы не приняты. </w:t>
      </w:r>
    </w:p>
    <w:p>
      <w:pPr>
        <w:pStyle w:val="NormalWeb"/>
        <w:spacing w:beforeAutospacing="0" w:before="0" w:afterAutospacing="0" w:after="0"/>
        <w:ind w:left="-567" w:hanging="0"/>
        <w:jc w:val="both"/>
        <w:rPr/>
      </w:pPr>
      <w:r>
        <w:rPr/>
        <w:t xml:space="preserve">     </w:t>
      </w:r>
      <w:r>
        <w:rPr/>
        <w:t>Итого незакрытые в учете авансы по ООО «Промсервис» - 23 314 695-99.</w:t>
      </w:r>
    </w:p>
    <w:p>
      <w:pPr>
        <w:pStyle w:val="NormalWeb"/>
        <w:spacing w:beforeAutospacing="0" w:before="0" w:afterAutospacing="0" w:after="0"/>
        <w:ind w:left="-567" w:hanging="0"/>
        <w:jc w:val="both"/>
        <w:rPr/>
      </w:pPr>
      <w:r>
        <w:rPr/>
      </w:r>
    </w:p>
    <w:p>
      <w:pPr>
        <w:pStyle w:val="NormalWeb"/>
        <w:spacing w:beforeAutospacing="0" w:before="0" w:afterAutospacing="0" w:after="0"/>
        <w:ind w:left="-567" w:hanging="0"/>
        <w:jc w:val="both"/>
        <w:rPr/>
      </w:pPr>
      <w:r>
        <w:rPr/>
        <w:t xml:space="preserve">     </w:t>
      </w:r>
      <w:r>
        <w:rPr/>
        <w:t xml:space="preserve">6.5. С контрагентом ОАО «Леноблгаз» заключен договор № 746-4778-12 от 05/12/2012 ( в ред. д/с 1 от 01/10/2013 и д/с 3 от 27/09/2016) по созданию технической возможности газификации 300 домовладений до 31/12/2014. Результатом оказания услуг по договору является технологическое подключение (врезка) созданного  в целях оказания услуг по настоящему договору объекта «Распределительный газопровод «Черная Речка – Садоводства. Всеволожский р-н ЛО» к газораспределительным сетям исполнителя и осуществление Исполнителем пуска газа при наличии потребителя. Стоимость договора 17 640 000 р. Оплачено на отчетную дату 2 940 000 р. Работы не приняты. Дополнительное соглашение 2 не предоставлено. </w:t>
      </w:r>
    </w:p>
    <w:p>
      <w:pPr>
        <w:pStyle w:val="NormalWeb"/>
        <w:spacing w:beforeAutospacing="0" w:before="0" w:afterAutospacing="0" w:after="0"/>
        <w:ind w:left="-567" w:hanging="0"/>
        <w:jc w:val="both"/>
        <w:rPr/>
      </w:pPr>
      <w:r>
        <w:rPr/>
        <w:t xml:space="preserve">С данным контрагентом имеется также договор № 746-2590-13 от 04/04/2013 (в ред. д/с 1 от 30/09/2013 и д/с 2 от 29/01/2016) по созданию технической возможности газификации 200 домовладений до 31/12/2014. Результатом оказания услуг по договору является технологическое подключение (врезка) созданного  в целях оказания услуг по настоящему договору объекта к газораспределительным сетям Исполнителя (Распределительный газопровод до границ СНП «Северная Жемчужина»). Стоимость </w:t>
      </w:r>
      <w:r>
        <w:rPr>
          <w:lang w:val="en-US"/>
        </w:rPr>
        <w:t>I</w:t>
      </w:r>
      <w:r>
        <w:rPr/>
        <w:t xml:space="preserve"> этапа договора составляет 1 380 588 р. Этап полностью оплачен, работы не приняты. Стоимость </w:t>
      </w:r>
      <w:r>
        <w:rPr>
          <w:lang w:val="en-US"/>
        </w:rPr>
        <w:t>II</w:t>
      </w:r>
      <w:r>
        <w:rPr/>
        <w:t xml:space="preserve"> этапа договора составляет 8 966 952-24. Срок оплаты этапа – 2016 год.</w:t>
      </w:r>
    </w:p>
    <w:p>
      <w:pPr>
        <w:pStyle w:val="NormalWeb"/>
        <w:spacing w:beforeAutospacing="0" w:before="0" w:afterAutospacing="0" w:after="0"/>
        <w:ind w:left="-567" w:hanging="0"/>
        <w:jc w:val="both"/>
        <w:rPr/>
      </w:pPr>
      <w:r>
        <w:rPr/>
        <w:t xml:space="preserve">     </w:t>
      </w:r>
      <w:r>
        <w:rPr/>
        <w:t>В 2011 году ОАО «Леноблгазу» оплачено также 10 600 рублей за расчет по газу, документов по данной оплате не представлено, работы не приняты.</w:t>
      </w:r>
    </w:p>
    <w:p>
      <w:pPr>
        <w:pStyle w:val="NormalWeb"/>
        <w:spacing w:beforeAutospacing="0" w:before="0" w:afterAutospacing="0" w:after="0"/>
        <w:jc w:val="both"/>
        <w:rPr>
          <w:rFonts w:ascii="Calibri" w:hAnsi="Calibri"/>
          <w:color w:val="000000"/>
        </w:rPr>
      </w:pPr>
      <w:r>
        <w:rPr/>
        <w:t xml:space="preserve">Итого незакрытые в учете авансы по ОАО «Леноблгаз» - </w:t>
      </w:r>
      <w:r>
        <w:rPr>
          <w:rFonts w:ascii="Calibri" w:hAnsi="Calibri"/>
          <w:color w:val="000000"/>
        </w:rPr>
        <w:t>4 331 188-00.</w:t>
      </w:r>
    </w:p>
    <w:p>
      <w:pPr>
        <w:pStyle w:val="NormalWeb"/>
        <w:spacing w:beforeAutospacing="0" w:before="0" w:afterAutospacing="0" w:after="0"/>
        <w:ind w:left="-567" w:hanging="0"/>
        <w:jc w:val="both"/>
        <w:rPr/>
      </w:pPr>
      <w:r>
        <w:rPr/>
        <w:t xml:space="preserve">       </w:t>
      </w:r>
    </w:p>
    <w:p>
      <w:pPr>
        <w:pStyle w:val="NormalWeb"/>
        <w:spacing w:beforeAutospacing="0" w:before="0" w:afterAutospacing="0" w:after="0"/>
        <w:ind w:left="-567" w:firstLine="567"/>
        <w:jc w:val="both"/>
        <w:rPr/>
      </w:pPr>
      <w:r>
        <w:rPr/>
        <w:t>Два договора на техническую возможность газификации действительно имеют разные количества домовладений (200 и 300), но согласно Заключению о технической возможности подключения от 27.04.2015 и техническим условиям от 29.04.2015 количество домовладений для подключения – 300.</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color w:val="FF6600"/>
        </w:rPr>
      </w:pPr>
      <w:r>
        <w:rPr/>
        <w:t xml:space="preserve">6.6. С контрагентом ИП Федоров А.А. заключен договор №01-14 от 12.05.2014 на услуги по организации взаимодействия между органами управления и должностными лицами Заказчика с гражданами, которые являются участниками Заказчика как некоммерческого партнерства, а также с гражданами, которые изъявили желание стать участниками Партнерства. По данному договору оплачено в 2014 году 2 036 645 р, в 2015 – 10 341 000 р. Закрыто актами выполненных работ в 2014 году 1 133 023 р, в 2015 году 10 324 622 р. 920 000р на отчетную дату отражено как аванс. Акты выполненных работ не представлены. Стоимость услуг в договоре не определена. Из договора также не ясны объемы услуг Исполнителя, порядок отчетности Исполнителя перед Заказчиком, порядок проверки объемов и порядок определения цены  оказанных услуг. </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6.7. Контрагенту ООО «Опоракомплект» было перечислено в апреле 2015 года 655 500 р на основании счетов. Данные о приобретаемых материальных ценностях отсутствуют (вероятно, опоры для электричества), суммы числятся на отчетную дату в составе авансов.</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6.8. С контрагентом ООО «Гейзер сервис» заключен договор от 03/09/2010  РДБ № 21-09/10 на выполнение  комплекса работ по оформлению разрешительной документации для эксплуатации водозабора, бурению разведывательно-эксплуатационной скважины и монтажу насосного оборудования. Стоимость работ по договору 2 432 000 р. Приложения к договору со сроками и последовательностью работ, протоколом соглашения о договорной цене, не предоставлены. Данные о расчетах по данному договору не представлены.</w:t>
      </w:r>
    </w:p>
    <w:p>
      <w:pPr>
        <w:pStyle w:val="NormalWeb"/>
        <w:spacing w:beforeAutospacing="0" w:before="0" w:afterAutospacing="0" w:after="0"/>
        <w:ind w:left="-567" w:firstLine="567"/>
        <w:jc w:val="both"/>
        <w:rPr/>
      </w:pPr>
      <w:r>
        <w:rPr/>
        <w:t>С контрагентом также заключен договор №Л 96-04/15 от 15.04.2015 на выполнение комплекса поисково-оценочных работ и получение лицензии на недропользование (добыча подземных вод в объеме 800 куб.м в сутки). Стоимость договора – 1 391 200-00. Оплачено по договору, вероятно 512 458-13. Указать сумму оплаты точно не представляется возможным. поскольку в представленных документах не везде есть указания, в рамках какого из договоров произведена оплата. Предоставлены акты выполненных работ на 130 000-00 от 01/07/2015 (получена лицензия), на 280 000-00 от 10/12/2015 (разработка и согласование проекта), на 17 458-13 от 11/12/2015 (пробы и исследования воды).</w:t>
      </w:r>
    </w:p>
    <w:p>
      <w:pPr>
        <w:pStyle w:val="NormalWeb"/>
        <w:spacing w:beforeAutospacing="0" w:before="0" w:afterAutospacing="0" w:after="0"/>
        <w:ind w:left="-567" w:firstLine="567"/>
        <w:jc w:val="both"/>
        <w:rPr/>
      </w:pPr>
      <w:r>
        <w:rPr/>
        <w:t xml:space="preserve">Оплачено по счету  и закрыто актом 98 440-00 р (насос и его установка) без указания договора. </w:t>
      </w:r>
    </w:p>
    <w:p>
      <w:pPr>
        <w:pStyle w:val="NormalWeb"/>
        <w:spacing w:beforeAutospacing="0" w:before="0" w:afterAutospacing="0" w:after="0"/>
        <w:ind w:left="-567" w:firstLine="567"/>
        <w:jc w:val="both"/>
        <w:rPr/>
      </w:pPr>
      <w:r>
        <w:rPr/>
        <w:t xml:space="preserve">Оплачено по счету 05/06/2015 и не закрыто актом 28 900-00. </w:t>
      </w:r>
    </w:p>
    <w:p>
      <w:pPr>
        <w:pStyle w:val="NormalWeb"/>
        <w:spacing w:beforeAutospacing="0" w:before="0" w:afterAutospacing="0" w:after="0"/>
        <w:ind w:left="-567" w:firstLine="567"/>
        <w:jc w:val="both"/>
        <w:rPr/>
      </w:pPr>
      <w:r>
        <w:rPr/>
        <w:t>Дополнительно заключено  соглашение к договору №Л 96-04/15 от 15.04.2015 от 13/10/2015 на работу по выполнению специальных расчетов и получению экспертного заключения о сокращении зоны санитарной охраны для скважин стоимостью 140 000 р.</w:t>
      </w:r>
    </w:p>
    <w:p>
      <w:pPr>
        <w:pStyle w:val="NormalWeb"/>
        <w:spacing w:beforeAutospacing="0" w:before="0" w:afterAutospacing="0" w:after="0"/>
        <w:ind w:left="-567" w:firstLine="567"/>
        <w:jc w:val="both"/>
        <w:rPr/>
      </w:pPr>
      <w:r>
        <w:rPr/>
        <w:t xml:space="preserve">На отчетную дату размер аванса, не закрытого актами выполненных работ, выплаченного ООО «Гейзер сервис» по всем договорам (счетам), составил 549 400 р. В отчетном году ООО «Гейзер сервис» перечислено 639 798-13 р, закрыто актами 525 898-13 р.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color w:val="FF6600"/>
        </w:rPr>
      </w:pPr>
      <w:r>
        <w:rPr/>
        <w:t xml:space="preserve">6.9. С контрагентом ИП Кожухова Мария Владимировна заключен договор возмездного оказания посреднических и консультационных услуг б/н от 01/10/2014. Договор предусматривает оказание услуг по организации взаимодействия между органами управления и должностными лицами Заказчика с гражданами, которые являются участниками Заказчика как некоммерческого партнерства, а также с гражданами, которые изъявили желание стать участниками Партнерства. По данному договору оплачено в 2014 году 780 000 р, в 2015 –          3 860 000 р. Закрыто актами выполненных работ в 2014 году 550 000 р, в 2015 году 3 690 000 р. 400 000р на отчетную дату отражено как аванс. Акты выполненных работ оформлены. Стоимость услуг в договоре не определена. Из договора и актов также не ясны объемы услуг Исполнителя, порядок отчетности Исполнителя перед Заказчиком, порядок проверки объемов и порядок определения цены  оказанных услуг.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 xml:space="preserve">6.10. С контрагентом ОАО «Петербургская сбытовая компания» заключен договор энергоснабжения № 25-020584 от 01/12/2014 (в 2015 году номер договора изменен дополнительным соглашением на № 250927). Под данному договору заключено дополнительное соглашение от 01/11/2015 об электронном документообороте по счетам, актам и т.п.). Договор имеет ряд Приложений (более 10), указанных в тексте. Приложения ревизионной комиссии не представлены. </w:t>
      </w:r>
    </w:p>
    <w:p>
      <w:pPr>
        <w:pStyle w:val="NormalWeb"/>
        <w:spacing w:beforeAutospacing="0" w:before="0" w:afterAutospacing="0" w:after="0"/>
        <w:ind w:left="-567" w:firstLine="567"/>
        <w:jc w:val="both"/>
        <w:rPr/>
      </w:pPr>
      <w:r>
        <w:rPr/>
        <w:t>У ревизионной комиссии отсутствуют данные о приборах учета, их количестве, контурах обслуживания, о порядке  разделения затрат на электроэнергию на общие (осуществляемые за счет членских взносов) и индивидуальные (возмещаемые садоводами). Внутренние нормативные документы по учету электроэнергии в СНП отсутствуют. Данные о возможных потерях при учете электроэнергии и порядке их возмещения также отсутствуют.</w:t>
      </w:r>
    </w:p>
    <w:p>
      <w:pPr>
        <w:pStyle w:val="NormalWeb"/>
        <w:spacing w:beforeAutospacing="0" w:before="0" w:afterAutospacing="0" w:after="0"/>
        <w:ind w:left="-567" w:firstLine="567"/>
        <w:jc w:val="both"/>
        <w:rPr/>
      </w:pPr>
      <w:r>
        <w:rPr/>
        <w:t xml:space="preserve">В отчетном периоде по данному договору энергоснабжения оплачено 1 649 683-96 (за период январь-ноябрь 2015 г). Начислено в учете 1 276 092-61 (за период январь-октябрь 2015 г). Разница  373 591-35 отражена как дебиторская задолженность в балансе СНП, но данная сумма фактически дебиторской задолженностью не является. В соответствии с нормативными документами по бухгалтерскому учету начисления должны были быть осуществлены за январь-декабрь 2015 года, и в балансе должны была быть отражена кредиторская задолженность в размере суммы потребленной электроэнергии за декабрь 2015. С учетом наличия электронного документооборота с контрагентом отсутствие начислений в балансе за отчетный период не может иметь рациональных объяснений. </w:t>
      </w:r>
    </w:p>
    <w:p>
      <w:pPr>
        <w:pStyle w:val="NormalWeb"/>
        <w:spacing w:beforeAutospacing="0" w:before="0" w:afterAutospacing="0" w:after="0"/>
        <w:ind w:left="-567" w:firstLine="567"/>
        <w:jc w:val="both"/>
        <w:rPr/>
      </w:pPr>
      <w:r>
        <w:rPr/>
        <w:t xml:space="preserve">Тарифы за электроэнергию в отчетном периоде составляли 3,27 р за 1 кВт в </w:t>
      </w:r>
      <w:r>
        <w:rPr>
          <w:lang w:val="en-US"/>
        </w:rPr>
        <w:t>I</w:t>
      </w:r>
      <w:r>
        <w:rPr/>
        <w:t xml:space="preserve"> полугодии и 3,55 р за 1 кВт по </w:t>
      </w:r>
      <w:r>
        <w:rPr>
          <w:lang w:val="en-US"/>
        </w:rPr>
        <w:t>II</w:t>
      </w:r>
      <w:r>
        <w:rPr/>
        <w:t xml:space="preserve"> полугодии. Среднемесячный расход за январь-октябрь 2015 составил 37315 кВт, среднемесячная сумма оплаты за тот же период 127 609-00 р.</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6.11. С контрагентом ИП Берсенев Сергей Валерьевич заключен договор 01/12 от 01/12/2015. Договор ревизионной комиссии не предоставлен. Предмет договора неизвестен.  Оплачено по договору 350 000-00 р, списано 50 000-00 р. Из представленных документов направление списания не ясно. В балансе на отчетную дату отражена дебиторская задолженность ИП Берсенев Сергей Валерьевич в размере 300 000-00</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 xml:space="preserve">6.12. Контрагенту Полный привод оплачено 193 250-00 09/10/2015 на основании выставленного счета. Характер товаров (работ, услуг) определить невозможно. Счет не предоставлен. Аванс не закрыт документами на получение товара (актом выполнения работ, оказания услуг). Оплаченная сумма числится в составе дебиторской задолженности.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6.13. Контрагенту Лонмади оплачено 94 019-45 02/12/2015 на основании выставленного счета. На начало отчетного периода за данным контрагентом числится незакрытый аванс в сумме 12 450-08 р. Характер товаров (работ, услуг) определить невозможно. Счета не предоставлены. Авансы не закрыты документами на получение товара (актами выполнения работ, оказания услуг). Оплаченная сумма 106 469-53 числится в составе дебиторской задолженности.</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6.14. С контрагентом Капитал-Инвест были заключены договоры</w:t>
      </w:r>
    </w:p>
    <w:p>
      <w:pPr>
        <w:pStyle w:val="NormalWeb"/>
        <w:spacing w:beforeAutospacing="0" w:before="0" w:afterAutospacing="0" w:after="0"/>
        <w:ind w:left="-567" w:firstLine="567"/>
        <w:jc w:val="both"/>
        <w:rPr/>
      </w:pPr>
      <w:r>
        <w:rPr/>
        <w:t>-  №23-04 за оказание услуг по организации производства топографо-геодезических работ</w:t>
      </w:r>
    </w:p>
    <w:p>
      <w:pPr>
        <w:pStyle w:val="NormalWeb"/>
        <w:spacing w:beforeAutospacing="0" w:before="0" w:afterAutospacing="0" w:after="0"/>
        <w:ind w:left="-567" w:firstLine="567"/>
        <w:jc w:val="both"/>
        <w:rPr/>
      </w:pPr>
      <w:r>
        <w:rPr/>
        <w:t>- договор №21-06 за выполнение работ по исправлению профиля и расчистки от 21.06.2012</w:t>
      </w:r>
    </w:p>
    <w:p>
      <w:pPr>
        <w:pStyle w:val="NormalWeb"/>
        <w:spacing w:beforeAutospacing="0" w:before="0" w:afterAutospacing="0" w:after="0"/>
        <w:ind w:left="-567" w:firstLine="567"/>
        <w:jc w:val="both"/>
        <w:rPr/>
      </w:pPr>
      <w:r>
        <w:rPr/>
        <w:t>- договор №20-08 на проведение тех. обслуживания оборудования</w:t>
      </w:r>
    </w:p>
    <w:p>
      <w:pPr>
        <w:pStyle w:val="NormalWeb"/>
        <w:spacing w:beforeAutospacing="0" w:before="0" w:afterAutospacing="0" w:after="0"/>
        <w:ind w:left="-567" w:firstLine="567"/>
        <w:jc w:val="both"/>
        <w:rPr/>
      </w:pPr>
      <w:r>
        <w:rPr/>
        <w:t>- договор №20-04 на выполнение проектных работ от 20.04.12</w:t>
      </w:r>
    </w:p>
    <w:p>
      <w:pPr>
        <w:pStyle w:val="NormalWeb"/>
        <w:spacing w:beforeAutospacing="0" w:before="0" w:afterAutospacing="0" w:after="0"/>
        <w:ind w:left="-567" w:firstLine="567"/>
        <w:jc w:val="both"/>
        <w:rPr/>
      </w:pPr>
      <w:r>
        <w:rPr/>
        <w:t>- договор №09/12 на оказание услуг</w:t>
      </w:r>
    </w:p>
    <w:p>
      <w:pPr>
        <w:pStyle w:val="NormalWeb"/>
        <w:spacing w:beforeAutospacing="0" w:before="0" w:afterAutospacing="0" w:after="0"/>
        <w:ind w:left="-567" w:firstLine="567"/>
        <w:jc w:val="both"/>
        <w:rPr/>
      </w:pPr>
      <w:r>
        <w:rPr/>
        <w:t>- договор №04-06 на оказание услуг по организации строительства дороги</w:t>
      </w:r>
    </w:p>
    <w:p>
      <w:pPr>
        <w:pStyle w:val="NormalWeb"/>
        <w:spacing w:beforeAutospacing="0" w:before="0" w:afterAutospacing="0" w:after="0"/>
        <w:ind w:left="-567" w:firstLine="567"/>
        <w:jc w:val="both"/>
        <w:rPr/>
      </w:pPr>
      <w:r>
        <w:rPr/>
        <w:t>- договор №05-06 на оказание услуг по организации строительства зданий от  01.10.2011</w:t>
      </w:r>
    </w:p>
    <w:p>
      <w:pPr>
        <w:pStyle w:val="NormalWeb"/>
        <w:spacing w:beforeAutospacing="0" w:before="0" w:afterAutospacing="0" w:after="0"/>
        <w:ind w:left="-567" w:firstLine="567"/>
        <w:jc w:val="both"/>
        <w:rPr/>
      </w:pPr>
      <w:r>
        <w:rPr/>
        <w:t>- договор №02-11 за установку электрических опор от 02.11.12</w:t>
      </w:r>
    </w:p>
    <w:p>
      <w:pPr>
        <w:pStyle w:val="NormalWeb"/>
        <w:spacing w:beforeAutospacing="0" w:before="0" w:afterAutospacing="0" w:after="0"/>
        <w:ind w:left="-567" w:firstLine="567"/>
        <w:jc w:val="both"/>
        <w:rPr/>
      </w:pPr>
      <w:r>
        <w:rPr/>
        <w:t>В отчетном году по данным договорам были отражены выполненные работы на сумму 69 625 000-00. Договоры и акты не предоставлены. По информации администрации акты оформлены и направлены на подпись контрагенту.</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 xml:space="preserve">6.15. С контрагентом ООО «Авангард» были заключены договоры от 19/02/2014 на поставку 3670 куб м  булыжника различной фракции по цене 701-36 р за 1 куб м и от 21/04/2015 на поставку 3000 куб м  булыжника различной фракции по цене 700 р за куб м. В рамках договора от 19/02/2014 оплачена полная сумма договора 2 574 000-00 р, товар принят, затраты списаны на обустройство и строительство дорог. По договору от 21/04/2015 оплачено 671 000-00, списано 671 000-00. Документы по закрытию аванса ревизионной комиссии не представлены. Дебиторская задолженность в сумме 100 000-00 в балансе является технической ошибкой. На аналогичную сумму имеется кредиторская задолженность.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 xml:space="preserve">6.16 С контрагентом ИП Кудрин К.А. заключен договор б/н от 12.09.2014 на услуги по восстановлению утраченных межевых знаков на 1014 земельных участках по цене 1500 р за один межевой знак. По данному договору оплачено в 2015 году и закрыто актами 1 595 000-00 р. Договоры и акты предоставлены.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6.17. Прочая дебиторская задолженность контрагентов на суммы менее 100 000-00 р. представлена в Табл. 11</w:t>
      </w:r>
    </w:p>
    <w:p>
      <w:pPr>
        <w:pStyle w:val="NormalWeb"/>
        <w:spacing w:beforeAutospacing="0" w:before="0" w:afterAutospacing="0" w:after="0"/>
        <w:ind w:left="-567" w:firstLine="567"/>
        <w:jc w:val="right"/>
        <w:rPr/>
      </w:pPr>
      <w:r>
        <w:rPr/>
        <w:t>Табл.11</w:t>
      </w:r>
    </w:p>
    <w:tbl>
      <w:tblPr>
        <w:tblW w:w="10490" w:type="dxa"/>
        <w:jc w:val="left"/>
        <w:tblInd w:w="-601"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1275"/>
        <w:gridCol w:w="1276"/>
        <w:gridCol w:w="992"/>
        <w:gridCol w:w="993"/>
        <w:gridCol w:w="1299"/>
        <w:gridCol w:w="1820"/>
        <w:gridCol w:w="709"/>
        <w:gridCol w:w="2124"/>
      </w:tblGrid>
      <w:tr>
        <w:trPr>
          <w:trHeight w:val="1215" w:hRule="atLeast"/>
        </w:trPr>
        <w:tc>
          <w:tcPr>
            <w:tcW w:w="127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sz w:val="20"/>
                <w:szCs w:val="20"/>
                <w:lang w:eastAsia="ru-RU"/>
              </w:rPr>
            </w:pPr>
            <w:r>
              <w:rPr>
                <w:b/>
                <w:bCs/>
                <w:color w:val="000000"/>
                <w:sz w:val="20"/>
                <w:szCs w:val="20"/>
                <w:lang w:eastAsia="ru-RU"/>
              </w:rPr>
              <w:t>Контрагент</w:t>
            </w:r>
          </w:p>
        </w:tc>
        <w:tc>
          <w:tcPr>
            <w:tcW w:w="1276"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sz w:val="20"/>
                <w:szCs w:val="20"/>
                <w:lang w:eastAsia="ru-RU"/>
              </w:rPr>
            </w:pPr>
            <w:r>
              <w:rPr>
                <w:b/>
                <w:bCs/>
                <w:color w:val="000000"/>
                <w:sz w:val="20"/>
                <w:szCs w:val="20"/>
                <w:lang w:eastAsia="ru-RU"/>
              </w:rPr>
              <w:t>Сальдо расчетов на 01/01/2015</w:t>
            </w:r>
          </w:p>
        </w:tc>
        <w:tc>
          <w:tcPr>
            <w:tcW w:w="992"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sz w:val="20"/>
                <w:szCs w:val="20"/>
                <w:lang w:eastAsia="ru-RU"/>
              </w:rPr>
            </w:pPr>
            <w:r>
              <w:rPr>
                <w:b/>
                <w:bCs/>
                <w:color w:val="000000"/>
                <w:sz w:val="20"/>
                <w:szCs w:val="20"/>
                <w:lang w:eastAsia="ru-RU"/>
              </w:rPr>
              <w:t>Оплачено в 2015</w:t>
            </w:r>
          </w:p>
        </w:tc>
        <w:tc>
          <w:tcPr>
            <w:tcW w:w="993"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sz w:val="20"/>
                <w:szCs w:val="20"/>
                <w:lang w:eastAsia="ru-RU"/>
              </w:rPr>
            </w:pPr>
            <w:r>
              <w:rPr>
                <w:b/>
                <w:bCs/>
                <w:color w:val="000000"/>
                <w:sz w:val="20"/>
                <w:szCs w:val="20"/>
                <w:lang w:eastAsia="ru-RU"/>
              </w:rPr>
              <w:t>Закрыто в 2015</w:t>
            </w:r>
          </w:p>
        </w:tc>
        <w:tc>
          <w:tcPr>
            <w:tcW w:w="1299"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sz w:val="20"/>
                <w:szCs w:val="20"/>
                <w:lang w:eastAsia="ru-RU"/>
              </w:rPr>
            </w:pPr>
            <w:r>
              <w:rPr>
                <w:b/>
                <w:bCs/>
                <w:color w:val="000000"/>
                <w:sz w:val="20"/>
                <w:szCs w:val="20"/>
                <w:lang w:eastAsia="ru-RU"/>
              </w:rPr>
              <w:t>Сальдо расчетов на 01/01/2016</w:t>
            </w:r>
          </w:p>
        </w:tc>
        <w:tc>
          <w:tcPr>
            <w:tcW w:w="1820"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sz w:val="20"/>
                <w:szCs w:val="20"/>
                <w:lang w:eastAsia="ru-RU"/>
              </w:rPr>
            </w:pPr>
            <w:r>
              <w:rPr>
                <w:b/>
                <w:bCs/>
                <w:color w:val="000000"/>
                <w:sz w:val="20"/>
                <w:szCs w:val="20"/>
                <w:lang w:eastAsia="ru-RU"/>
              </w:rPr>
              <w:t>Предмет сделки</w:t>
            </w:r>
          </w:p>
        </w:tc>
        <w:tc>
          <w:tcPr>
            <w:tcW w:w="709"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sz w:val="20"/>
                <w:szCs w:val="20"/>
                <w:lang w:eastAsia="ru-RU"/>
              </w:rPr>
            </w:pPr>
            <w:r>
              <w:rPr>
                <w:b/>
                <w:bCs/>
                <w:color w:val="000000"/>
                <w:sz w:val="20"/>
                <w:szCs w:val="20"/>
                <w:lang w:eastAsia="ru-RU"/>
              </w:rPr>
              <w:t>Док-ты</w:t>
            </w:r>
          </w:p>
        </w:tc>
        <w:tc>
          <w:tcPr>
            <w:tcW w:w="2124"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sz w:val="20"/>
                <w:szCs w:val="20"/>
                <w:lang w:eastAsia="ru-RU"/>
              </w:rPr>
            </w:pPr>
            <w:r>
              <w:rPr>
                <w:b/>
                <w:bCs/>
                <w:color w:val="000000"/>
                <w:sz w:val="20"/>
                <w:szCs w:val="20"/>
                <w:lang w:eastAsia="ru-RU"/>
              </w:rPr>
              <w:t>Комментарии</w:t>
            </w:r>
          </w:p>
        </w:tc>
      </w:tr>
      <w:tr>
        <w:trPr>
          <w:trHeight w:val="480" w:hRule="atLeast"/>
        </w:trPr>
        <w:tc>
          <w:tcPr>
            <w:tcW w:w="1275" w:type="dxa"/>
            <w:tcBorders>
              <w:top w:val="double" w:sz="6"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ПЕТРОМЕТАЛЛ</w:t>
            </w:r>
          </w:p>
        </w:tc>
        <w:tc>
          <w:tcPr>
            <w:tcW w:w="1276"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50 000.00 </w:t>
            </w:r>
          </w:p>
        </w:tc>
        <w:tc>
          <w:tcPr>
            <w:tcW w:w="992"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0.00 </w:t>
            </w:r>
          </w:p>
        </w:tc>
        <w:tc>
          <w:tcPr>
            <w:tcW w:w="993"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0.00 </w:t>
            </w:r>
          </w:p>
        </w:tc>
        <w:tc>
          <w:tcPr>
            <w:tcW w:w="1299"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50 000.00 </w:t>
            </w:r>
          </w:p>
        </w:tc>
        <w:tc>
          <w:tcPr>
            <w:tcW w:w="1820"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известен</w:t>
            </w:r>
          </w:p>
        </w:tc>
        <w:tc>
          <w:tcPr>
            <w:tcW w:w="709" w:type="dxa"/>
            <w:tcBorders>
              <w:top w:val="double" w:sz="6"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Нет</w:t>
            </w:r>
          </w:p>
        </w:tc>
        <w:tc>
          <w:tcPr>
            <w:tcW w:w="2124" w:type="dxa"/>
            <w:tcBorders>
              <w:top w:val="double" w:sz="6"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Оплата произведена до 01/01/2014</w:t>
            </w:r>
          </w:p>
        </w:tc>
      </w:tr>
      <w:tr>
        <w:trPr>
          <w:trHeight w:val="46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ИП Бурлаков Д.А.</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45 000.00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0.00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0.00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45 000.00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известен</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Нет</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Оплата произведена до 15/12/2014</w:t>
            </w:r>
          </w:p>
        </w:tc>
      </w:tr>
      <w:tr>
        <w:trPr>
          <w:trHeight w:val="46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ООО "КиТ-Энерго"</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-103 413.30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5 628 997.58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-5 479 538.13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46 046.15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 xml:space="preserve">Покупка комплектующих для электрики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Есть</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r>
      <w:tr>
        <w:trPr>
          <w:trHeight w:val="114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ПАО "МТС"</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25 437.48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58 820.00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-55 461.27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28 796.21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7 номеров мобильных телефонов (Управляющий, пост охраны, бухгалтер, энергетик, продажник, Интернет, неизвестный)</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Частично</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 xml:space="preserve">Отсутствует Приказ об использовании мобильной связи, есть расшифровки звноков со звонками в Краснодар, Москву </w:t>
            </w:r>
          </w:p>
        </w:tc>
      </w:tr>
      <w:tr>
        <w:trPr>
          <w:trHeight w:val="69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ООО "Панорама ЭКСПО"</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152 900.00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-125 900.00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27 000.00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Участие в выставке "Жилищный проект" 30-31 мая 2015 г, 13-14 февраля 2016</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Есть</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Незакрытой осталась предоплата за участие в выставке 13-14 февраля 2016 года. Это ОК.</w:t>
            </w:r>
          </w:p>
        </w:tc>
      </w:tr>
      <w:tr>
        <w:trPr>
          <w:trHeight w:val="69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Сфера</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19 400.00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121 957.00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-121 357.00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20 000.00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Участие в выставке "Строим дом" 11-12 апреля 2015 г, 17-18 октября 2015</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Есть</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Почему часть суммы осталось незакрытой - непонятно</w:t>
            </w:r>
          </w:p>
        </w:tc>
      </w:tr>
      <w:tr>
        <w:trPr>
          <w:trHeight w:val="30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ООО "Аспект СФТ"</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rFonts w:ascii="Arial" w:hAnsi="Arial" w:cs="Arial"/>
                <w:sz w:val="16"/>
                <w:szCs w:val="16"/>
                <w:lang w:eastAsia="ru-RU"/>
              </w:rPr>
            </w:pPr>
            <w:r>
              <w:rPr>
                <w:rFonts w:cs="Arial" w:ascii="Arial" w:hAnsi="Arial"/>
                <w:sz w:val="16"/>
                <w:szCs w:val="16"/>
                <w:lang w:eastAsia="ru-RU"/>
              </w:rPr>
              <w:t>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39 076.00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19 300.00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19 776.00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известен</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Нет</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Оплата 01/09/2015</w:t>
            </w:r>
          </w:p>
        </w:tc>
      </w:tr>
      <w:tr>
        <w:trPr>
          <w:trHeight w:val="91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ООО "Альянс"</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20 471.30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-4 958.80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15 512.50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Поставка комплектующих</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Частично</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Профиль Г-обр 30*30*2 20шт*247.94=4958.8 - документы есть, на 15512.5, оплаченные 22/07/2015 документов нет</w:t>
            </w:r>
          </w:p>
        </w:tc>
      </w:tr>
      <w:tr>
        <w:trPr>
          <w:trHeight w:val="46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ИП Романов</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120 800.00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-106 610.00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14 190.00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Запчасти и комплектующие для УАЗ</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Частично</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закрыта оплата от 21/04/2015. Объективных причин быть не может</w:t>
            </w:r>
          </w:p>
        </w:tc>
      </w:tr>
      <w:tr>
        <w:trPr>
          <w:trHeight w:val="91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Почта России</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16 992.00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-8 496.00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8 496.00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№358/223 на предоставление ячейки 708 р в мес</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Частично</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Договор не предоставлен. Закрывающие документы не все. Дебиторская задолженность - аванс за услуги за 2016 год. ОК.</w:t>
            </w:r>
          </w:p>
        </w:tc>
      </w:tr>
      <w:tr>
        <w:trPr>
          <w:trHeight w:val="46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ЗАО "Бонниер Бизнес Пресс"</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733.91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13 231.00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-8 572.15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5 482.76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Подписка. Деловой Петербург и Бухгалтерские вести.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Частично</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Нет декабря</w:t>
            </w:r>
          </w:p>
        </w:tc>
      </w:tr>
      <w:tr>
        <w:trPr>
          <w:trHeight w:val="300"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ООО "Партнер АСЦ"</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3 562.00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3 562.00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известен</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Нет</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r>
      <w:tr>
        <w:trPr>
          <w:trHeight w:val="46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Комус-Петербург</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296.36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38 423.24 </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FF0000"/>
                <w:sz w:val="16"/>
                <w:szCs w:val="16"/>
                <w:lang w:eastAsia="ru-RU"/>
              </w:rPr>
              <w:t xml:space="preserve">-38 423.24 </w:t>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296.35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Офисные товары</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Есть</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урегулирован остаток расчетов за период до 2015 года</w:t>
            </w:r>
          </w:p>
        </w:tc>
      </w:tr>
      <w:tr>
        <w:trPr>
          <w:trHeight w:val="465" w:hRule="atLeast"/>
        </w:trPr>
        <w:tc>
          <w:tcPr>
            <w:tcW w:w="1275" w:type="dxa"/>
            <w:tcBorders>
              <w:top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t>Ди-Ви-Эр</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180.00 </w:t>
            </w:r>
          </w:p>
        </w:tc>
        <w:tc>
          <w:tcPr>
            <w:tcW w:w="9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jc w:val="right"/>
              <w:rPr>
                <w:color w:val="000000"/>
                <w:sz w:val="16"/>
                <w:szCs w:val="16"/>
                <w:lang w:eastAsia="ru-RU"/>
              </w:rPr>
            </w:pPr>
            <w:r>
              <w:rPr>
                <w:color w:val="000000"/>
                <w:sz w:val="16"/>
                <w:szCs w:val="16"/>
                <w:lang w:eastAsia="ru-RU"/>
              </w:rPr>
              <w:t xml:space="preserve">180.00 </w:t>
            </w:r>
          </w:p>
        </w:tc>
        <w:tc>
          <w:tcPr>
            <w:tcW w:w="1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известен</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Нет</w:t>
            </w:r>
          </w:p>
        </w:tc>
        <w:tc>
          <w:tcPr>
            <w:tcW w:w="2124" w:type="dxa"/>
            <w:tcBorders>
              <w:top w:val="single" w:sz="4" w:space="0" w:color="00000A"/>
              <w:left w:val="single" w:sz="4" w:space="0" w:color="00000A"/>
              <w:bottom w:val="single" w:sz="4" w:space="0" w:color="00000A"/>
              <w:insideH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t>Не урегулирован остаток расчетов за период до 2015 года</w:t>
            </w:r>
          </w:p>
        </w:tc>
      </w:tr>
      <w:tr>
        <w:trPr>
          <w:trHeight w:val="300" w:hRule="atLeast"/>
        </w:trPr>
        <w:tc>
          <w:tcPr>
            <w:tcW w:w="1275" w:type="dxa"/>
            <w:tcBorders>
              <w:top w:val="single" w:sz="4" w:space="0" w:color="00000A"/>
              <w:right w:val="single" w:sz="4" w:space="0" w:color="00000A"/>
              <w:insideV w:val="single" w:sz="4" w:space="0" w:color="00000A"/>
            </w:tcBorders>
            <w:shd w:fill="auto" w:val="cle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76"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992"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993"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1299"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jc w:val="right"/>
              <w:rPr>
                <w:b/>
                <w:b/>
                <w:bCs/>
                <w:sz w:val="16"/>
                <w:szCs w:val="16"/>
                <w:lang w:eastAsia="ru-RU"/>
              </w:rPr>
            </w:pPr>
            <w:r>
              <w:rPr>
                <w:b/>
                <w:bCs/>
                <w:sz w:val="16"/>
                <w:szCs w:val="16"/>
                <w:lang w:eastAsia="ru-RU"/>
              </w:rPr>
              <w:t xml:space="preserve">284 337.97 </w:t>
            </w:r>
          </w:p>
        </w:tc>
        <w:tc>
          <w:tcPr>
            <w:tcW w:w="1820"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709" w:type="dxa"/>
            <w:tcBorders>
              <w:top w:val="single" w:sz="4" w:space="0" w:color="00000A"/>
              <w:left w:val="single" w:sz="4" w:space="0" w:color="00000A"/>
              <w:right w:val="single" w:sz="4" w:space="0" w:color="00000A"/>
              <w:insideV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c>
          <w:tcPr>
            <w:tcW w:w="2124" w:type="dxa"/>
            <w:tcBorders>
              <w:top w:val="single" w:sz="4" w:space="0" w:color="00000A"/>
              <w:left w:val="single" w:sz="4" w:space="0" w:color="00000A"/>
            </w:tcBorders>
            <w:shd w:fill="auto" w:val="clear"/>
            <w:tcMar>
              <w:left w:w="103" w:type="dxa"/>
            </w:tcMar>
            <w:vAlign w:val="bottom"/>
          </w:tcPr>
          <w:p>
            <w:pPr>
              <w:pStyle w:val="Normal"/>
              <w:spacing w:lineRule="auto" w:line="240" w:before="0" w:after="0"/>
              <w:rPr>
                <w:color w:val="000000"/>
                <w:sz w:val="16"/>
                <w:szCs w:val="16"/>
                <w:lang w:eastAsia="ru-RU"/>
              </w:rPr>
            </w:pPr>
            <w:r>
              <w:rPr>
                <w:color w:val="000000"/>
                <w:sz w:val="16"/>
                <w:szCs w:val="16"/>
                <w:lang w:eastAsia="ru-RU"/>
              </w:rPr>
            </w:r>
          </w:p>
        </w:tc>
      </w:tr>
    </w:tbl>
    <w:p>
      <w:pPr>
        <w:pStyle w:val="NormalWeb"/>
        <w:spacing w:beforeAutospacing="0" w:before="0" w:afterAutospacing="0" w:after="0"/>
        <w:ind w:left="-851" w:hanging="0"/>
        <w:jc w:val="both"/>
        <w:rPr/>
      </w:pPr>
      <w:r>
        <w:rPr/>
      </w:r>
    </w:p>
    <w:p>
      <w:pPr>
        <w:pStyle w:val="NormalWeb"/>
        <w:spacing w:beforeAutospacing="0" w:before="0" w:afterAutospacing="0" w:after="0"/>
        <w:jc w:val="both"/>
        <w:rPr/>
      </w:pPr>
      <w:r>
        <w:rPr/>
      </w:r>
    </w:p>
    <w:p>
      <w:pPr>
        <w:pStyle w:val="NormalWeb"/>
        <w:spacing w:beforeAutospacing="0" w:before="0" w:afterAutospacing="0" w:after="0"/>
        <w:ind w:left="-567" w:firstLine="708"/>
        <w:jc w:val="both"/>
        <w:rPr/>
      </w:pPr>
      <w:r>
        <w:rPr/>
        <w:t>7. На отчетную дату в учетной системе зарегистрировано 677 лицевых счетов садоводов по уплате членских, целевых и прочих взносов. Еще 2 лицевых счета открыты без указания ФИО садовода, 1 лицевой счет открыт на имя Департамента лесного хозяйства, что является ошибкой, поскольку юридическое лицо не может иметь участок в СНП. По 68 лицевым счетам отсутствуют какие-либо начисления, по 10 лицевым счетам начисления меньше минимальных (минимальное начисление – это сумма членских взносов за отчетный год и целевых взносов по компенсации арендной платы). Некоторые из отсутствующих или меньших начислений могут быть объяснены выбытием или поступлением садоводов в СНП в течение отчетного года. Некоторые объяснены быть не могут, поскольку садоводы числились в СНП и в 2014 году. Около 150 участков являются вторыми, третьими и т.п. участками одного садовода, т.о. расчетное кол-во участков для начисления членских и проч.взносов на – 827. Реестр садоводов не предоставлен. По информации администрации, на конец отчетного года кол-во участков, имеющих правообладателей – 653. Разницы в количестве объясняются наличием незакрытых лицевых счетов по выбывшим садоводам. Закон 66-ФЗ требует ведение реестра  с 01/07/2017 года. Но по сути без реестра администрировать деятельность СНП невозможно. По информации администрации отсутствие оформленного реестра обусловлено отсутствием разрешения правообладателей на обработку персональных данных в соответствии с ФЗ «О персональных данных».</w:t>
      </w:r>
    </w:p>
    <w:p>
      <w:pPr>
        <w:pStyle w:val="NormalWeb"/>
        <w:spacing w:beforeAutospacing="0" w:before="0" w:afterAutospacing="0" w:after="0"/>
        <w:ind w:left="-567" w:firstLine="567"/>
        <w:jc w:val="both"/>
        <w:rPr/>
      </w:pPr>
      <w:r>
        <w:rPr/>
        <w:t>Учтенная задолженность садоводов по начисленным взносам на отчетную дату составляет 143 237 848-73 р. Задолженность Департамента лесного хозяйства в т.ч. - 1 153 601-00, нереальная задолженность (учетная ошибка, когда один и тот же садовод имеет задолженность и требование к СНП в учете) – 5 478 414-43. Итого реальная учетная задолженность 136 605 833-30. Должниками являются 447 садоводов. При этом 105 181 728-34 – это задолженность  в сумме 500 000-00 и более на одного садовода. Раздельный учет задолженностей по видам взносов в бухгалтерском учете не ведется. В общую сумму задолженностей входят в т.ч. рассрочки, предоставленные садоводам при оплате вступительных взносов и взносов на инфраструктуру.</w:t>
      </w:r>
    </w:p>
    <w:p>
      <w:pPr>
        <w:pStyle w:val="NormalWeb"/>
        <w:spacing w:beforeAutospacing="0" w:before="0" w:afterAutospacing="0" w:after="0"/>
        <w:jc w:val="both"/>
        <w:rPr/>
      </w:pPr>
      <w:r>
        <w:rPr/>
      </w:r>
    </w:p>
    <w:p>
      <w:pPr>
        <w:pStyle w:val="NormalWeb"/>
        <w:spacing w:beforeAutospacing="0" w:before="0" w:afterAutospacing="0" w:after="0"/>
        <w:ind w:left="-709" w:firstLine="709"/>
        <w:jc w:val="both"/>
        <w:rPr/>
      </w:pPr>
      <w:r>
        <w:rPr/>
        <w:t>8. Переплата по соц.взносам в балансе в сумме 3 151 225.72 является технической ошибкой. Это ФОТ с отчислениями за 2 полугодие 2105 года, ошибочно списанный на расчеты по соц.взносам вместо расходов на оплату труда и обязательные отчисления.</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 xml:space="preserve">9. В 2014 году СНП предоставило беспроцентный  займ Председателю Правления в размере 700 000-00. 25000-00 погашено в 2015 году. Остаток займа на отчетную дату 675 000-00. Решение о предоставлении займа принято Правлением СНП в составе 4 человек. Предоставление беспроцентных займов противоречит  целям СНП.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10. Прочие оборотные активы стоимостью менее 100 000-00. К ним относятся:</w:t>
      </w:r>
    </w:p>
    <w:p>
      <w:pPr>
        <w:pStyle w:val="NormalWeb"/>
        <w:spacing w:beforeAutospacing="0" w:before="0" w:afterAutospacing="0" w:after="0"/>
        <w:ind w:left="-567" w:firstLine="567"/>
        <w:jc w:val="both"/>
        <w:rPr/>
      </w:pPr>
      <w:r>
        <w:rPr/>
        <w:t>-  расчеты по страхованию на сумму 30 358-00, не списанные на расходы (это не может быть объяснено, поскольку страхование относится на расходы периода без актов выполненных работ),</w:t>
      </w:r>
    </w:p>
    <w:p>
      <w:pPr>
        <w:pStyle w:val="NormalWeb"/>
        <w:spacing w:beforeAutospacing="0" w:before="0" w:afterAutospacing="0" w:after="0"/>
        <w:ind w:left="-567" w:firstLine="567"/>
        <w:jc w:val="both"/>
        <w:rPr/>
      </w:pPr>
      <w:r>
        <w:rPr/>
        <w:t xml:space="preserve">- расходы будущих периодов по лицензионным платежам 1С на сумму 13 044-88 (объяснимо в случае, если сумма действительно относится к сроку действия прав в будущем), </w:t>
      </w:r>
    </w:p>
    <w:p>
      <w:pPr>
        <w:pStyle w:val="NormalWeb"/>
        <w:spacing w:beforeAutospacing="0" w:before="0" w:afterAutospacing="0" w:after="0"/>
        <w:ind w:left="-567" w:firstLine="567"/>
        <w:jc w:val="both"/>
        <w:rPr/>
      </w:pPr>
      <w:r>
        <w:rPr/>
        <w:t>- переплата по транспортному налогу в сумме 12 477-69, которая не может быть переплатой, а скорее всего является учетной ошибкой,</w:t>
      </w:r>
    </w:p>
    <w:p>
      <w:pPr>
        <w:pStyle w:val="NormalWeb"/>
        <w:spacing w:beforeAutospacing="0" w:before="0" w:afterAutospacing="0" w:after="0"/>
        <w:ind w:left="-567" w:firstLine="567"/>
        <w:jc w:val="both"/>
        <w:rPr/>
      </w:pPr>
      <w:r>
        <w:rPr/>
        <w:t>- задолженность садовода по договору подряда, скорее всего не являющаяся реальной, поскольку работы не закрыты актами,</w:t>
      </w:r>
    </w:p>
    <w:p>
      <w:pPr>
        <w:pStyle w:val="NormalWeb"/>
        <w:spacing w:beforeAutospacing="0" w:before="0" w:afterAutospacing="0" w:after="0"/>
        <w:ind w:left="-567" w:firstLine="567"/>
        <w:jc w:val="both"/>
        <w:rPr/>
      </w:pPr>
      <w:r>
        <w:rPr/>
        <w:t>- переплата по подоходному налогу которая не может быть переплатой, а скорее всего является учетной ошибкой,</w:t>
      </w:r>
    </w:p>
    <w:p>
      <w:pPr>
        <w:pStyle w:val="NormalWeb"/>
        <w:spacing w:beforeAutospacing="0" w:before="0" w:afterAutospacing="0" w:after="0"/>
        <w:ind w:left="-567" w:firstLine="567"/>
        <w:jc w:val="both"/>
        <w:rPr/>
      </w:pPr>
      <w:r>
        <w:rPr/>
        <w:t>- расчеты с персоналом – переплата сотруднику Байковой Н.М. в сумме 728 р, скорее всего являющаяся учетной ошибкой,</w:t>
      </w:r>
    </w:p>
    <w:p>
      <w:pPr>
        <w:pStyle w:val="NormalWeb"/>
        <w:spacing w:beforeAutospacing="0" w:before="0" w:afterAutospacing="0" w:after="0"/>
        <w:ind w:left="-567" w:firstLine="567"/>
        <w:jc w:val="both"/>
        <w:rPr/>
      </w:pPr>
      <w:r>
        <w:rPr/>
        <w:t>- расчеты по подотчетным суммам – долг подотчетного лица Байковой Н.М. в сумме 271-05.</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11. Капитал и резервы</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Добавочный капитал в балансе СНП в размере 8 306 180-00 признан в сумме стоимостей 4-х объектов основных средств – здания правления, здания охраны, генератора и стабилизатора. В добавочном капитале некоммерческой организации признаются фактически использованные на капитальные затраты средства, внесенные садоводами. Остается невыясненным вопрос, почему только часть стоимости основных средств СНП в сумме 9 779 465-79 признана в составе добавочного капитала.</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12. Кредиторская задолженность</w:t>
      </w:r>
    </w:p>
    <w:p>
      <w:pPr>
        <w:pStyle w:val="NormalWeb"/>
        <w:spacing w:beforeAutospacing="0" w:before="0" w:afterAutospacing="0" w:after="0"/>
        <w:jc w:val="both"/>
        <w:rPr/>
      </w:pPr>
      <w:r>
        <w:rPr/>
      </w:r>
    </w:p>
    <w:p>
      <w:pPr>
        <w:pStyle w:val="NormalWeb"/>
        <w:spacing w:beforeAutospacing="0" w:before="0" w:afterAutospacing="0" w:after="0"/>
        <w:jc w:val="both"/>
        <w:rPr/>
      </w:pPr>
      <w:r>
        <w:rPr/>
        <w:t>Расшифровка кредиторской задолженности представлена в табл. 12</w:t>
      </w:r>
    </w:p>
    <w:p>
      <w:pPr>
        <w:pStyle w:val="NormalWeb"/>
        <w:spacing w:beforeAutospacing="0" w:before="0" w:afterAutospacing="0" w:after="0"/>
        <w:jc w:val="right"/>
        <w:rPr/>
      </w:pPr>
      <w:r>
        <w:rPr/>
        <w:t>Табл.12</w:t>
      </w:r>
    </w:p>
    <w:tbl>
      <w:tblPr>
        <w:tblW w:w="8379" w:type="dxa"/>
        <w:jc w:val="left"/>
        <w:tblInd w:w="93"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4505"/>
        <w:gridCol w:w="1759"/>
        <w:gridCol w:w="2115"/>
      </w:tblGrid>
      <w:tr>
        <w:trPr>
          <w:trHeight w:val="315" w:hRule="atLeast"/>
        </w:trPr>
        <w:tc>
          <w:tcPr>
            <w:tcW w:w="450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Статья</w:t>
            </w:r>
          </w:p>
        </w:tc>
        <w:tc>
          <w:tcPr>
            <w:tcW w:w="1759"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 </w:t>
            </w:r>
          </w:p>
        </w:tc>
        <w:tc>
          <w:tcPr>
            <w:tcW w:w="2115"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Сумма, руб</w:t>
            </w:r>
          </w:p>
        </w:tc>
      </w:tr>
      <w:tr>
        <w:trPr>
          <w:trHeight w:val="315" w:hRule="atLeast"/>
        </w:trPr>
        <w:tc>
          <w:tcPr>
            <w:tcW w:w="4505" w:type="dxa"/>
            <w:tcBorders/>
            <w:shd w:fill="auto" w:val="clear"/>
            <w:vAlign w:val="bottom"/>
          </w:tcPr>
          <w:p>
            <w:pPr>
              <w:pStyle w:val="Normal"/>
              <w:spacing w:lineRule="auto" w:line="240" w:before="0" w:after="0"/>
              <w:rPr>
                <w:color w:val="000000"/>
                <w:lang w:eastAsia="ru-RU"/>
              </w:rPr>
            </w:pPr>
            <w:r>
              <w:rPr>
                <w:color w:val="000000"/>
                <w:lang w:eastAsia="ru-RU"/>
              </w:rPr>
              <w:t>Долг перед садоводами по взносам</w:t>
            </w:r>
          </w:p>
        </w:tc>
        <w:tc>
          <w:tcPr>
            <w:tcW w:w="1759" w:type="dxa"/>
            <w:tcBorders/>
            <w:shd w:fill="auto" w:val="clear"/>
            <w:vAlign w:val="bottom"/>
          </w:tcPr>
          <w:p>
            <w:pPr>
              <w:pStyle w:val="Normal"/>
              <w:spacing w:lineRule="auto" w:line="240" w:before="0" w:after="0"/>
              <w:rPr>
                <w:color w:val="000000"/>
                <w:lang w:eastAsia="ru-RU"/>
              </w:rPr>
            </w:pPr>
            <w:r>
              <w:rPr>
                <w:color w:val="000000"/>
                <w:lang w:eastAsia="ru-RU"/>
              </w:rPr>
              <w:t>Прим 12.1</w:t>
            </w:r>
          </w:p>
        </w:tc>
        <w:tc>
          <w:tcPr>
            <w:tcW w:w="2115" w:type="dxa"/>
            <w:tcBorders/>
            <w:shd w:fill="auto" w:val="clear"/>
            <w:vAlign w:val="bottom"/>
          </w:tcPr>
          <w:p>
            <w:pPr>
              <w:pStyle w:val="Normal"/>
              <w:spacing w:lineRule="auto" w:line="240" w:before="0" w:after="0"/>
              <w:jc w:val="right"/>
              <w:rPr>
                <w:color w:val="000000"/>
                <w:lang w:eastAsia="ru-RU"/>
              </w:rPr>
            </w:pPr>
            <w:r>
              <w:rPr>
                <w:color w:val="000000"/>
                <w:lang w:eastAsia="ru-RU"/>
              </w:rPr>
              <w:t>49 385 095.58</w:t>
            </w:r>
          </w:p>
        </w:tc>
      </w:tr>
      <w:tr>
        <w:trPr>
          <w:trHeight w:val="300" w:hRule="atLeast"/>
        </w:trPr>
        <w:tc>
          <w:tcPr>
            <w:tcW w:w="4505" w:type="dxa"/>
            <w:tcBorders/>
            <w:shd w:fill="auto" w:val="clear"/>
            <w:vAlign w:val="bottom"/>
          </w:tcPr>
          <w:p>
            <w:pPr>
              <w:pStyle w:val="Normal"/>
              <w:spacing w:lineRule="auto" w:line="240" w:before="0" w:after="0"/>
              <w:rPr>
                <w:color w:val="000000"/>
                <w:lang w:eastAsia="ru-RU"/>
              </w:rPr>
            </w:pPr>
            <w:r>
              <w:rPr>
                <w:color w:val="000000"/>
                <w:lang w:eastAsia="ru-RU"/>
              </w:rPr>
              <w:t>Долг перед контрагентами</w:t>
            </w:r>
          </w:p>
        </w:tc>
        <w:tc>
          <w:tcPr>
            <w:tcW w:w="1759" w:type="dxa"/>
            <w:tcBorders/>
            <w:shd w:fill="auto" w:val="clear"/>
            <w:vAlign w:val="bottom"/>
          </w:tcPr>
          <w:p>
            <w:pPr>
              <w:pStyle w:val="Normal"/>
              <w:spacing w:lineRule="auto" w:line="240" w:before="0" w:after="0"/>
              <w:rPr>
                <w:color w:val="000000"/>
                <w:lang w:eastAsia="ru-RU"/>
              </w:rPr>
            </w:pPr>
            <w:r>
              <w:rPr>
                <w:color w:val="000000"/>
                <w:lang w:eastAsia="ru-RU"/>
              </w:rPr>
              <w:t>Прим 12.2</w:t>
            </w:r>
          </w:p>
        </w:tc>
        <w:tc>
          <w:tcPr>
            <w:tcW w:w="2115" w:type="dxa"/>
            <w:tcBorders/>
            <w:shd w:fill="auto" w:val="clear"/>
            <w:vAlign w:val="bottom"/>
          </w:tcPr>
          <w:p>
            <w:pPr>
              <w:pStyle w:val="Normal"/>
              <w:spacing w:lineRule="auto" w:line="240" w:before="0" w:after="0"/>
              <w:jc w:val="right"/>
              <w:rPr>
                <w:color w:val="000000"/>
                <w:lang w:eastAsia="ru-RU"/>
              </w:rPr>
            </w:pPr>
            <w:r>
              <w:rPr>
                <w:color w:val="000000"/>
                <w:lang w:eastAsia="ru-RU"/>
              </w:rPr>
              <w:t>29 180 673.11</w:t>
            </w:r>
          </w:p>
        </w:tc>
      </w:tr>
      <w:tr>
        <w:trPr>
          <w:trHeight w:val="300" w:hRule="atLeast"/>
        </w:trPr>
        <w:tc>
          <w:tcPr>
            <w:tcW w:w="4505" w:type="dxa"/>
            <w:tcBorders/>
            <w:shd w:fill="auto" w:val="clear"/>
            <w:vAlign w:val="bottom"/>
          </w:tcPr>
          <w:p>
            <w:pPr>
              <w:pStyle w:val="Normal"/>
              <w:spacing w:lineRule="auto" w:line="240" w:before="0" w:after="0"/>
              <w:rPr>
                <w:color w:val="000000"/>
                <w:lang w:eastAsia="ru-RU"/>
              </w:rPr>
            </w:pPr>
            <w:r>
              <w:rPr>
                <w:color w:val="000000"/>
                <w:lang w:eastAsia="ru-RU"/>
              </w:rPr>
              <w:t>Долг перед садоводами по договорам подряда</w:t>
            </w:r>
          </w:p>
        </w:tc>
        <w:tc>
          <w:tcPr>
            <w:tcW w:w="1759" w:type="dxa"/>
            <w:tcBorders/>
            <w:shd w:fill="auto" w:val="clear"/>
            <w:vAlign w:val="bottom"/>
          </w:tcPr>
          <w:p>
            <w:pPr>
              <w:pStyle w:val="Normal"/>
              <w:spacing w:lineRule="auto" w:line="240" w:before="0" w:after="0"/>
              <w:rPr>
                <w:color w:val="000000"/>
                <w:lang w:eastAsia="ru-RU"/>
              </w:rPr>
            </w:pPr>
            <w:r>
              <w:rPr>
                <w:color w:val="000000"/>
                <w:lang w:eastAsia="ru-RU"/>
              </w:rPr>
              <w:t>Прим 12.3</w:t>
            </w:r>
          </w:p>
        </w:tc>
        <w:tc>
          <w:tcPr>
            <w:tcW w:w="2115" w:type="dxa"/>
            <w:tcBorders/>
            <w:shd w:fill="auto" w:val="clear"/>
            <w:vAlign w:val="bottom"/>
          </w:tcPr>
          <w:p>
            <w:pPr>
              <w:pStyle w:val="Normal"/>
              <w:spacing w:lineRule="auto" w:line="240" w:before="0" w:after="0"/>
              <w:jc w:val="right"/>
              <w:rPr>
                <w:color w:val="000000"/>
                <w:lang w:eastAsia="ru-RU"/>
              </w:rPr>
            </w:pPr>
            <w:r>
              <w:rPr>
                <w:color w:val="000000"/>
                <w:lang w:eastAsia="ru-RU"/>
              </w:rPr>
              <w:t>10 130 368.15</w:t>
            </w:r>
          </w:p>
        </w:tc>
      </w:tr>
      <w:tr>
        <w:trPr>
          <w:trHeight w:val="300" w:hRule="atLeast"/>
        </w:trPr>
        <w:tc>
          <w:tcPr>
            <w:tcW w:w="4505" w:type="dxa"/>
            <w:tcBorders/>
            <w:shd w:fill="auto" w:val="clear"/>
            <w:vAlign w:val="bottom"/>
          </w:tcPr>
          <w:p>
            <w:pPr>
              <w:pStyle w:val="Normal"/>
              <w:spacing w:lineRule="auto" w:line="240" w:before="0" w:after="0"/>
              <w:rPr>
                <w:color w:val="000000"/>
                <w:lang w:eastAsia="ru-RU"/>
              </w:rPr>
            </w:pPr>
            <w:r>
              <w:rPr>
                <w:color w:val="000000"/>
                <w:lang w:eastAsia="ru-RU"/>
              </w:rPr>
              <w:t>Долг по транспортному налогу</w:t>
            </w:r>
          </w:p>
        </w:tc>
        <w:tc>
          <w:tcPr>
            <w:tcW w:w="1759" w:type="dxa"/>
            <w:tcBorders/>
            <w:shd w:fill="auto" w:val="clear"/>
            <w:vAlign w:val="bottom"/>
          </w:tcPr>
          <w:p>
            <w:pPr>
              <w:pStyle w:val="Normal"/>
              <w:spacing w:lineRule="auto" w:line="240" w:before="0" w:after="0"/>
              <w:rPr>
                <w:color w:val="000000"/>
                <w:lang w:eastAsia="ru-RU"/>
              </w:rPr>
            </w:pPr>
            <w:r>
              <w:rPr>
                <w:color w:val="000000"/>
                <w:lang w:eastAsia="ru-RU"/>
              </w:rPr>
              <w:t>Прим 12.4</w:t>
            </w:r>
          </w:p>
        </w:tc>
        <w:tc>
          <w:tcPr>
            <w:tcW w:w="2115" w:type="dxa"/>
            <w:tcBorders/>
            <w:shd w:fill="auto" w:val="clear"/>
            <w:vAlign w:val="bottom"/>
          </w:tcPr>
          <w:p>
            <w:pPr>
              <w:pStyle w:val="Normal"/>
              <w:spacing w:lineRule="auto" w:line="240" w:before="0" w:after="0"/>
              <w:jc w:val="right"/>
              <w:rPr>
                <w:color w:val="000000"/>
                <w:lang w:eastAsia="ru-RU"/>
              </w:rPr>
            </w:pPr>
            <w:r>
              <w:rPr>
                <w:color w:val="000000"/>
                <w:lang w:eastAsia="ru-RU"/>
              </w:rPr>
              <w:t>225 792.00</w:t>
            </w:r>
          </w:p>
        </w:tc>
      </w:tr>
      <w:tr>
        <w:trPr>
          <w:trHeight w:val="300" w:hRule="atLeast"/>
        </w:trPr>
        <w:tc>
          <w:tcPr>
            <w:tcW w:w="4505" w:type="dxa"/>
            <w:tcBorders/>
            <w:shd w:fill="auto" w:val="clear"/>
            <w:vAlign w:val="bottom"/>
          </w:tcPr>
          <w:p>
            <w:pPr>
              <w:pStyle w:val="Normal"/>
              <w:spacing w:lineRule="auto" w:line="240" w:before="0" w:after="0"/>
              <w:rPr>
                <w:color w:val="000000"/>
                <w:lang w:eastAsia="ru-RU"/>
              </w:rPr>
            </w:pPr>
            <w:r>
              <w:rPr>
                <w:color w:val="000000"/>
                <w:lang w:eastAsia="ru-RU"/>
              </w:rPr>
              <w:t>Долг перед подотчетными лицами</w:t>
            </w:r>
          </w:p>
        </w:tc>
        <w:tc>
          <w:tcPr>
            <w:tcW w:w="1759" w:type="dxa"/>
            <w:tcBorders/>
            <w:shd w:fill="auto" w:val="clear"/>
            <w:vAlign w:val="bottom"/>
          </w:tcPr>
          <w:p>
            <w:pPr>
              <w:pStyle w:val="Normal"/>
              <w:spacing w:lineRule="auto" w:line="240" w:before="0" w:after="0"/>
              <w:rPr>
                <w:color w:val="000000"/>
                <w:lang w:eastAsia="ru-RU"/>
              </w:rPr>
            </w:pPr>
            <w:r>
              <w:rPr>
                <w:color w:val="000000"/>
                <w:lang w:eastAsia="ru-RU"/>
              </w:rPr>
              <w:t>Прим 12.5</w:t>
            </w:r>
          </w:p>
        </w:tc>
        <w:tc>
          <w:tcPr>
            <w:tcW w:w="2115" w:type="dxa"/>
            <w:tcBorders/>
            <w:shd w:fill="auto" w:val="clear"/>
            <w:vAlign w:val="bottom"/>
          </w:tcPr>
          <w:p>
            <w:pPr>
              <w:pStyle w:val="Normal"/>
              <w:spacing w:lineRule="auto" w:line="240" w:before="0" w:after="0"/>
              <w:jc w:val="right"/>
              <w:rPr>
                <w:color w:val="000000"/>
                <w:lang w:eastAsia="ru-RU"/>
              </w:rPr>
            </w:pPr>
            <w:r>
              <w:rPr>
                <w:color w:val="000000"/>
                <w:lang w:eastAsia="ru-RU"/>
              </w:rPr>
              <w:t>158 404.58</w:t>
            </w:r>
          </w:p>
        </w:tc>
      </w:tr>
      <w:tr>
        <w:trPr>
          <w:trHeight w:val="300" w:hRule="atLeast"/>
        </w:trPr>
        <w:tc>
          <w:tcPr>
            <w:tcW w:w="4505" w:type="dxa"/>
            <w:tcBorders/>
            <w:shd w:fill="auto" w:val="clear"/>
            <w:vAlign w:val="bottom"/>
          </w:tcPr>
          <w:p>
            <w:pPr>
              <w:pStyle w:val="Normal"/>
              <w:spacing w:lineRule="auto" w:line="240" w:before="0" w:after="0"/>
              <w:rPr>
                <w:color w:val="000000"/>
                <w:lang w:eastAsia="ru-RU"/>
              </w:rPr>
            </w:pPr>
            <w:r>
              <w:rPr>
                <w:color w:val="000000"/>
                <w:lang w:eastAsia="ru-RU"/>
              </w:rPr>
              <w:t>Долг по НДФЛ</w:t>
            </w:r>
          </w:p>
        </w:tc>
        <w:tc>
          <w:tcPr>
            <w:tcW w:w="1759" w:type="dxa"/>
            <w:tcBorders/>
            <w:shd w:fill="auto" w:val="clear"/>
            <w:vAlign w:val="bottom"/>
          </w:tcPr>
          <w:p>
            <w:pPr>
              <w:pStyle w:val="Normal"/>
              <w:spacing w:lineRule="auto" w:line="240" w:before="0" w:after="0"/>
              <w:rPr>
                <w:color w:val="000000"/>
                <w:lang w:eastAsia="ru-RU"/>
              </w:rPr>
            </w:pPr>
            <w:r>
              <w:rPr>
                <w:color w:val="000000"/>
                <w:lang w:eastAsia="ru-RU"/>
              </w:rPr>
              <w:t>Прим 12.6</w:t>
            </w:r>
          </w:p>
        </w:tc>
        <w:tc>
          <w:tcPr>
            <w:tcW w:w="2115" w:type="dxa"/>
            <w:tcBorders/>
            <w:shd w:fill="auto" w:val="clear"/>
            <w:vAlign w:val="bottom"/>
          </w:tcPr>
          <w:p>
            <w:pPr>
              <w:pStyle w:val="Normal"/>
              <w:spacing w:lineRule="auto" w:line="240" w:before="0" w:after="0"/>
              <w:jc w:val="right"/>
              <w:rPr>
                <w:color w:val="000000"/>
                <w:lang w:eastAsia="ru-RU"/>
              </w:rPr>
            </w:pPr>
            <w:r>
              <w:rPr>
                <w:color w:val="000000"/>
                <w:lang w:eastAsia="ru-RU"/>
              </w:rPr>
              <w:t>13 458.41</w:t>
            </w:r>
          </w:p>
        </w:tc>
      </w:tr>
      <w:tr>
        <w:trPr>
          <w:trHeight w:val="300" w:hRule="atLeast"/>
        </w:trPr>
        <w:tc>
          <w:tcPr>
            <w:tcW w:w="4505" w:type="dxa"/>
            <w:tcBorders/>
            <w:shd w:fill="auto" w:val="clear"/>
            <w:vAlign w:val="bottom"/>
          </w:tcPr>
          <w:p>
            <w:pPr>
              <w:pStyle w:val="Normal"/>
              <w:spacing w:lineRule="auto" w:line="240" w:before="0" w:after="0"/>
              <w:rPr>
                <w:color w:val="000000"/>
                <w:lang w:eastAsia="ru-RU"/>
              </w:rPr>
            </w:pPr>
            <w:r>
              <w:rPr>
                <w:color w:val="000000"/>
                <w:lang w:eastAsia="ru-RU"/>
              </w:rPr>
            </w:r>
          </w:p>
        </w:tc>
        <w:tc>
          <w:tcPr>
            <w:tcW w:w="1759" w:type="dxa"/>
            <w:tcBorders/>
            <w:shd w:fill="auto" w:val="clear"/>
            <w:vAlign w:val="bottom"/>
          </w:tcPr>
          <w:p>
            <w:pPr>
              <w:pStyle w:val="Normal"/>
              <w:spacing w:lineRule="auto" w:line="240" w:before="0" w:after="0"/>
              <w:rPr>
                <w:color w:val="000000"/>
                <w:lang w:eastAsia="ru-RU"/>
              </w:rPr>
            </w:pPr>
            <w:r>
              <w:rPr>
                <w:color w:val="000000"/>
                <w:lang w:eastAsia="ru-RU"/>
              </w:rPr>
            </w:r>
          </w:p>
        </w:tc>
        <w:tc>
          <w:tcPr>
            <w:tcW w:w="2115" w:type="dxa"/>
            <w:tcBorders/>
            <w:shd w:fill="auto" w:val="clear"/>
            <w:vAlign w:val="bottom"/>
          </w:tcPr>
          <w:p>
            <w:pPr>
              <w:pStyle w:val="Normal"/>
              <w:spacing w:lineRule="auto" w:line="240" w:before="0" w:after="0"/>
              <w:jc w:val="right"/>
              <w:rPr>
                <w:b/>
                <w:b/>
                <w:bCs/>
                <w:color w:val="000000"/>
                <w:lang w:eastAsia="ru-RU"/>
              </w:rPr>
            </w:pPr>
            <w:r>
              <w:rPr>
                <w:b/>
                <w:bCs/>
                <w:color w:val="000000"/>
                <w:lang w:eastAsia="ru-RU"/>
              </w:rPr>
              <w:t>89 093 791.83</w:t>
            </w:r>
          </w:p>
        </w:tc>
      </w:tr>
    </w:tbl>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 xml:space="preserve">12.1. Согласно балансу, предоставленному в налоговые органы, СНП имеет задолженность перед садоводами (кроме освоения установленных взносов) в размере 49,4, при этом задолженность в сумме около 18 млн рублей не урегулирована с 2014 года. Действительно, отдельные садоводы могли оплатить взносы в сумме больше установленных, или заявить зачет взносов с отказом от получения предоставляемых после внесения денежных средств благ, но сумма в 49.5 млн рублей к возврату (более 10% от общей суммы взносов нарастающим итогом) вызывает сомнения в ее реальности. По информации бухгалтера действительно в 49,5 млн р входит оплата садоводами дополнительных электрических  мощностей, не начисленная как взносы, а также взносы садоводов за газ в полной сумме вместо начисленных по этапам.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12.2. Из суммы 29,2 млн р, отраженных в отчетности как кредиторская задолженность перед поставщиками и подрядчиками, 25,5 млн р таковой не является, поскольку  имеются документы на оплату, отраженные в учете и сформировавшие аналогичные суммы в активе баланса в разделе «Дебиторская задолженность». Это техническая ошибка, которая привела к некритичному искажению отчетности. Расшифровка оставшихся сумм авансов поставщикам и подрядчикам приведено в Табл.13. Акты сверки задолженности с контрагентами отсутствуют.</w:t>
      </w:r>
    </w:p>
    <w:p>
      <w:pPr>
        <w:pStyle w:val="NormalWeb"/>
        <w:spacing w:beforeAutospacing="0" w:before="0" w:afterAutospacing="0" w:after="0"/>
        <w:ind w:left="-567" w:firstLine="567"/>
        <w:jc w:val="right"/>
        <w:rPr/>
      </w:pPr>
      <w:r>
        <w:rPr/>
      </w:r>
    </w:p>
    <w:p>
      <w:pPr>
        <w:pStyle w:val="NormalWeb"/>
        <w:spacing w:beforeAutospacing="0" w:before="0" w:afterAutospacing="0" w:after="0"/>
        <w:ind w:left="-567" w:firstLine="567"/>
        <w:jc w:val="right"/>
        <w:rPr/>
      </w:pPr>
      <w:r>
        <w:rPr/>
        <w:t>Табл.13</w:t>
      </w:r>
    </w:p>
    <w:tbl>
      <w:tblPr>
        <w:tblW w:w="9229" w:type="dxa"/>
        <w:jc w:val="left"/>
        <w:tblInd w:w="93" w:type="dxa"/>
        <w:tblBorders/>
        <w:tblCellMar>
          <w:top w:w="0" w:type="dxa"/>
          <w:left w:w="108" w:type="dxa"/>
          <w:bottom w:w="0" w:type="dxa"/>
          <w:right w:w="108" w:type="dxa"/>
        </w:tblCellMar>
        <w:tblLook w:noVBand="0" w:val="00a0" w:noHBand="0" w:lastColumn="0" w:firstColumn="1" w:lastRow="0" w:firstRow="1"/>
      </w:tblPr>
      <w:tblGrid>
        <w:gridCol w:w="4409"/>
        <w:gridCol w:w="1275"/>
        <w:gridCol w:w="1"/>
        <w:gridCol w:w="1275"/>
        <w:gridCol w:w="1"/>
        <w:gridCol w:w="2267"/>
      </w:tblGrid>
      <w:tr>
        <w:trPr>
          <w:trHeight w:val="300" w:hRule="atLeast"/>
        </w:trPr>
        <w:tc>
          <w:tcPr>
            <w:tcW w:w="4409" w:type="dxa"/>
            <w:tcBorders/>
            <w:shd w:fill="auto" w:val="clear"/>
            <w:vAlign w:val="bottom"/>
          </w:tcPr>
          <w:p>
            <w:pPr>
              <w:pStyle w:val="Normal"/>
              <w:spacing w:lineRule="auto" w:line="240" w:before="0" w:after="0"/>
              <w:ind w:left="-1086" w:firstLine="1086"/>
              <w:rPr>
                <w:b/>
                <w:b/>
                <w:bCs/>
                <w:color w:val="000000"/>
                <w:lang w:eastAsia="ru-RU"/>
              </w:rPr>
            </w:pPr>
            <w:r>
              <w:rPr>
                <w:b/>
                <w:bCs/>
                <w:color w:val="000000"/>
                <w:lang w:eastAsia="ru-RU"/>
              </w:rPr>
              <w:t>Контрагент</w:t>
            </w:r>
          </w:p>
        </w:tc>
        <w:tc>
          <w:tcPr>
            <w:tcW w:w="1275" w:type="dxa"/>
            <w:tcBorders/>
            <w:shd w:fill="auto" w:val="clear"/>
            <w:vAlign w:val="bottom"/>
          </w:tcPr>
          <w:p>
            <w:pPr>
              <w:pStyle w:val="Normal"/>
              <w:spacing w:lineRule="auto" w:line="240" w:before="0" w:after="0"/>
              <w:rPr>
                <w:b/>
                <w:b/>
                <w:bCs/>
                <w:color w:val="000000"/>
                <w:lang w:eastAsia="ru-RU"/>
              </w:rPr>
            </w:pPr>
            <w:r>
              <w:rPr>
                <w:b/>
                <w:bCs/>
                <w:color w:val="000000"/>
                <w:lang w:eastAsia="ru-RU"/>
              </w:rPr>
              <w:t> </w:t>
            </w:r>
          </w:p>
        </w:tc>
        <w:tc>
          <w:tcPr>
            <w:tcW w:w="1276" w:type="dxa"/>
            <w:gridSpan w:val="2"/>
            <w:tcBorders/>
            <w:shd w:fill="auto" w:val="clear"/>
            <w:vAlign w:val="bottom"/>
          </w:tcPr>
          <w:p>
            <w:pPr>
              <w:pStyle w:val="Normal"/>
              <w:spacing w:lineRule="auto" w:line="240" w:before="0" w:after="0"/>
              <w:rPr>
                <w:b/>
                <w:b/>
                <w:bCs/>
                <w:color w:val="000000"/>
                <w:lang w:eastAsia="ru-RU"/>
              </w:rPr>
            </w:pPr>
            <w:r>
              <w:rPr>
                <w:b/>
                <w:bCs/>
                <w:color w:val="000000"/>
                <w:lang w:eastAsia="ru-RU"/>
              </w:rPr>
              <w:t>Сумма ДЗ</w:t>
            </w:r>
          </w:p>
        </w:tc>
        <w:tc>
          <w:tcPr>
            <w:tcW w:w="2268" w:type="dxa"/>
            <w:gridSpan w:val="2"/>
            <w:tcBorders/>
            <w:shd w:fill="auto" w:val="clear"/>
          </w:tcPr>
          <w:p>
            <w:pPr>
              <w:pStyle w:val="Normal"/>
              <w:widowControl/>
              <w:bidi w:val="0"/>
              <w:spacing w:lineRule="auto" w:line="276" w:before="0" w:after="200"/>
              <w:jc w:val="left"/>
              <w:rPr/>
            </w:pPr>
            <w:r>
              <w:rPr/>
            </w:r>
          </w:p>
        </w:tc>
      </w:tr>
      <w:tr>
        <w:trPr>
          <w:trHeight w:val="300" w:hRule="atLeast"/>
        </w:trPr>
        <w:tc>
          <w:tcPr>
            <w:tcW w:w="5685" w:type="dxa"/>
            <w:gridSpan w:val="3"/>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"Единый центр"</w:t>
            </w:r>
          </w:p>
        </w:tc>
        <w:tc>
          <w:tcPr>
            <w:tcW w:w="1276" w:type="dxa"/>
            <w:gridSpan w:val="2"/>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 </w:t>
            </w:r>
            <w:r>
              <w:rPr>
                <w:rFonts w:cs="Arial" w:ascii="Arial" w:hAnsi="Arial"/>
                <w:sz w:val="18"/>
                <w:szCs w:val="18"/>
                <w:lang w:eastAsia="ru-RU"/>
              </w:rPr>
              <w:t>Прим 12.2.1</w:t>
            </w:r>
          </w:p>
        </w:tc>
        <w:tc>
          <w:tcPr>
            <w:tcW w:w="2267" w:type="dxa"/>
            <w:tcBorders/>
            <w:shd w:fill="auto" w:val="clear"/>
            <w:vAlign w:val="bottom"/>
          </w:tcPr>
          <w:p>
            <w:pPr>
              <w:pStyle w:val="Normal"/>
              <w:spacing w:lineRule="auto" w:line="240" w:before="0" w:after="0"/>
              <w:jc w:val="right"/>
              <w:rPr>
                <w:color w:val="000000"/>
                <w:sz w:val="18"/>
                <w:szCs w:val="18"/>
                <w:lang w:eastAsia="ru-RU"/>
              </w:rPr>
            </w:pPr>
            <w:r>
              <w:rPr>
                <w:color w:val="000000"/>
                <w:sz w:val="18"/>
                <w:szCs w:val="18"/>
                <w:lang w:eastAsia="ru-RU"/>
              </w:rPr>
              <w:t xml:space="preserve">1 820 000.00 </w:t>
            </w:r>
          </w:p>
        </w:tc>
      </w:tr>
      <w:tr>
        <w:trPr>
          <w:trHeight w:val="300" w:hRule="atLeast"/>
        </w:trPr>
        <w:tc>
          <w:tcPr>
            <w:tcW w:w="5685" w:type="dxa"/>
            <w:gridSpan w:val="3"/>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«Мегалайн»</w:t>
            </w:r>
          </w:p>
        </w:tc>
        <w:tc>
          <w:tcPr>
            <w:tcW w:w="1276" w:type="dxa"/>
            <w:gridSpan w:val="2"/>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Прим 12.2.2</w:t>
            </w:r>
          </w:p>
        </w:tc>
        <w:tc>
          <w:tcPr>
            <w:tcW w:w="2267" w:type="dxa"/>
            <w:tcBorders/>
            <w:shd w:fill="auto" w:val="clear"/>
            <w:vAlign w:val="bottom"/>
          </w:tcPr>
          <w:p>
            <w:pPr>
              <w:pStyle w:val="Normal"/>
              <w:spacing w:lineRule="auto" w:line="240" w:before="0" w:after="0"/>
              <w:jc w:val="right"/>
              <w:rPr>
                <w:color w:val="000000"/>
                <w:sz w:val="18"/>
                <w:szCs w:val="18"/>
                <w:lang w:eastAsia="ru-RU"/>
              </w:rPr>
            </w:pPr>
            <w:r>
              <w:rPr>
                <w:color w:val="000000"/>
                <w:sz w:val="18"/>
                <w:szCs w:val="18"/>
                <w:lang w:eastAsia="ru-RU"/>
              </w:rPr>
              <w:t xml:space="preserve">1 761 568.50 </w:t>
            </w:r>
          </w:p>
        </w:tc>
      </w:tr>
      <w:tr>
        <w:trPr>
          <w:trHeight w:val="300" w:hRule="atLeast"/>
        </w:trPr>
        <w:tc>
          <w:tcPr>
            <w:tcW w:w="5685" w:type="dxa"/>
            <w:gridSpan w:val="3"/>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ИП Бондарев Р.А.</w:t>
            </w:r>
          </w:p>
        </w:tc>
        <w:tc>
          <w:tcPr>
            <w:tcW w:w="1276" w:type="dxa"/>
            <w:gridSpan w:val="2"/>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Прим 12.2.3</w:t>
            </w:r>
          </w:p>
        </w:tc>
        <w:tc>
          <w:tcPr>
            <w:tcW w:w="2267" w:type="dxa"/>
            <w:tcBorders/>
            <w:shd w:fill="auto" w:val="clear"/>
            <w:vAlign w:val="bottom"/>
          </w:tcPr>
          <w:p>
            <w:pPr>
              <w:pStyle w:val="Normal"/>
              <w:spacing w:lineRule="auto" w:line="240" w:before="0" w:after="0"/>
              <w:jc w:val="right"/>
              <w:rPr>
                <w:color w:val="000000"/>
                <w:sz w:val="18"/>
                <w:szCs w:val="18"/>
                <w:lang w:eastAsia="ru-RU"/>
              </w:rPr>
            </w:pPr>
            <w:r>
              <w:rPr>
                <w:color w:val="000000"/>
                <w:sz w:val="18"/>
                <w:szCs w:val="18"/>
                <w:lang w:eastAsia="ru-RU"/>
              </w:rPr>
              <w:t xml:space="preserve"> </w:t>
            </w:r>
            <w:r>
              <w:rPr>
                <w:color w:val="000000"/>
                <w:sz w:val="18"/>
                <w:szCs w:val="18"/>
                <w:lang w:eastAsia="ru-RU"/>
              </w:rPr>
              <w:t xml:space="preserve">30 000.00 </w:t>
            </w:r>
          </w:p>
        </w:tc>
      </w:tr>
      <w:tr>
        <w:trPr>
          <w:trHeight w:val="300" w:hRule="atLeast"/>
        </w:trPr>
        <w:tc>
          <w:tcPr>
            <w:tcW w:w="5685" w:type="dxa"/>
            <w:gridSpan w:val="3"/>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"ПКФ "Петро-Васт"</w:t>
            </w:r>
          </w:p>
        </w:tc>
        <w:tc>
          <w:tcPr>
            <w:tcW w:w="1276" w:type="dxa"/>
            <w:gridSpan w:val="2"/>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Прим 12.2.3.</w:t>
            </w:r>
          </w:p>
        </w:tc>
        <w:tc>
          <w:tcPr>
            <w:tcW w:w="2267" w:type="dxa"/>
            <w:tcBorders/>
            <w:shd w:fill="auto" w:val="clear"/>
            <w:vAlign w:val="bottom"/>
          </w:tcPr>
          <w:p>
            <w:pPr>
              <w:pStyle w:val="Normal"/>
              <w:spacing w:lineRule="auto" w:line="240" w:before="0" w:after="0"/>
              <w:jc w:val="right"/>
              <w:rPr>
                <w:color w:val="000000"/>
                <w:sz w:val="18"/>
                <w:szCs w:val="18"/>
                <w:lang w:eastAsia="ru-RU"/>
              </w:rPr>
            </w:pPr>
            <w:r>
              <w:rPr>
                <w:color w:val="000000"/>
                <w:sz w:val="18"/>
                <w:szCs w:val="18"/>
                <w:lang w:eastAsia="ru-RU"/>
              </w:rPr>
              <w:t xml:space="preserve">19 620.00 </w:t>
            </w:r>
          </w:p>
        </w:tc>
      </w:tr>
      <w:tr>
        <w:trPr>
          <w:trHeight w:val="300" w:hRule="atLeast"/>
        </w:trPr>
        <w:tc>
          <w:tcPr>
            <w:tcW w:w="5685" w:type="dxa"/>
            <w:gridSpan w:val="3"/>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ООО "Промышленная Балтийская компания"</w:t>
            </w:r>
          </w:p>
        </w:tc>
        <w:tc>
          <w:tcPr>
            <w:tcW w:w="1276" w:type="dxa"/>
            <w:gridSpan w:val="2"/>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t>Прим 12.2.3.</w:t>
            </w:r>
          </w:p>
        </w:tc>
        <w:tc>
          <w:tcPr>
            <w:tcW w:w="2267" w:type="dxa"/>
            <w:tcBorders/>
            <w:shd w:fill="auto" w:val="clear"/>
            <w:vAlign w:val="bottom"/>
          </w:tcPr>
          <w:p>
            <w:pPr>
              <w:pStyle w:val="Normal"/>
              <w:spacing w:lineRule="auto" w:line="240" w:before="0" w:after="0"/>
              <w:jc w:val="right"/>
              <w:rPr>
                <w:color w:val="000000"/>
                <w:sz w:val="18"/>
                <w:szCs w:val="18"/>
                <w:lang w:eastAsia="ru-RU"/>
              </w:rPr>
            </w:pPr>
            <w:r>
              <w:rPr>
                <w:color w:val="000000"/>
                <w:sz w:val="18"/>
                <w:szCs w:val="18"/>
                <w:lang w:eastAsia="ru-RU"/>
              </w:rPr>
              <w:t xml:space="preserve">13 928.28 </w:t>
            </w:r>
          </w:p>
        </w:tc>
      </w:tr>
      <w:tr>
        <w:trPr>
          <w:trHeight w:val="300" w:hRule="atLeast"/>
        </w:trPr>
        <w:tc>
          <w:tcPr>
            <w:tcW w:w="5685" w:type="dxa"/>
            <w:gridSpan w:val="3"/>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r>
          </w:p>
        </w:tc>
        <w:tc>
          <w:tcPr>
            <w:tcW w:w="1276" w:type="dxa"/>
            <w:gridSpan w:val="2"/>
            <w:tcBorders/>
            <w:shd w:fill="auto" w:val="clear"/>
          </w:tcPr>
          <w:p>
            <w:pPr>
              <w:pStyle w:val="Normal"/>
              <w:spacing w:lineRule="auto" w:line="240" w:before="0" w:after="0"/>
              <w:rPr>
                <w:rFonts w:ascii="Arial" w:hAnsi="Arial" w:cs="Arial"/>
                <w:sz w:val="18"/>
                <w:szCs w:val="18"/>
                <w:lang w:eastAsia="ru-RU"/>
              </w:rPr>
            </w:pPr>
            <w:r>
              <w:rPr>
                <w:rFonts w:cs="Arial" w:ascii="Arial" w:hAnsi="Arial"/>
                <w:sz w:val="18"/>
                <w:szCs w:val="18"/>
                <w:lang w:eastAsia="ru-RU"/>
              </w:rPr>
            </w:r>
          </w:p>
        </w:tc>
        <w:tc>
          <w:tcPr>
            <w:tcW w:w="2267" w:type="dxa"/>
            <w:tcBorders/>
            <w:shd w:fill="auto" w:val="clear"/>
            <w:vAlign w:val="bottom"/>
          </w:tcPr>
          <w:p>
            <w:pPr>
              <w:pStyle w:val="Normal"/>
              <w:spacing w:lineRule="auto" w:line="240" w:before="0" w:after="0"/>
              <w:jc w:val="right"/>
              <w:rPr>
                <w:b/>
                <w:b/>
                <w:color w:val="000000"/>
                <w:sz w:val="18"/>
                <w:szCs w:val="18"/>
                <w:lang w:eastAsia="ru-RU"/>
              </w:rPr>
            </w:pPr>
            <w:r>
              <w:rPr>
                <w:b/>
                <w:color w:val="000000"/>
                <w:sz w:val="18"/>
                <w:szCs w:val="18"/>
                <w:lang w:eastAsia="ru-RU"/>
              </w:rPr>
              <w:t>3 645 116.78</w:t>
            </w:r>
          </w:p>
        </w:tc>
      </w:tr>
    </w:tbl>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 xml:space="preserve">12.2.1. С контрагентом ООО «Единый центр» заключены два постоянно действующих договора (перезаключаемых один раз в год на новый срок): </w:t>
      </w:r>
    </w:p>
    <w:p>
      <w:pPr>
        <w:pStyle w:val="NormalWeb"/>
        <w:spacing w:beforeAutospacing="0" w:before="0" w:afterAutospacing="0" w:after="0"/>
        <w:ind w:left="-709" w:firstLine="709"/>
        <w:jc w:val="both"/>
        <w:rPr/>
      </w:pPr>
      <w:r>
        <w:rPr/>
        <w:t>- агентский договор на проведение рекламных компаний, участие в выставках в качестве промоутеров от имени и за счет СНП;</w:t>
      </w:r>
    </w:p>
    <w:p>
      <w:pPr>
        <w:pStyle w:val="NormalWeb"/>
        <w:spacing w:beforeAutospacing="0" w:before="0" w:afterAutospacing="0" w:after="0"/>
        <w:ind w:left="-567" w:firstLine="567"/>
        <w:jc w:val="both"/>
        <w:rPr/>
      </w:pPr>
      <w:r>
        <w:rPr/>
        <w:t>- договор на комплекс услуг по рекламному продвижению в целях привлечения в СНП новых членов.</w:t>
      </w:r>
    </w:p>
    <w:p>
      <w:pPr>
        <w:pStyle w:val="NormalWeb"/>
        <w:spacing w:beforeAutospacing="0" w:before="0" w:afterAutospacing="0" w:after="0"/>
        <w:ind w:left="-567" w:firstLine="567"/>
        <w:jc w:val="both"/>
        <w:rPr/>
      </w:pPr>
      <w:r>
        <w:rPr/>
        <w:t xml:space="preserve">Работа по агентскому договору ведется на основании ежемесячных заявок СНП на проведение рекламных компаний в устной или письменной форме. Агент выставляет счета, оплачиваемые принципалом, и по окончании месяца подписывается акт оказанных услуг. </w:t>
      </w:r>
    </w:p>
    <w:p>
      <w:pPr>
        <w:pStyle w:val="NormalWeb"/>
        <w:spacing w:beforeAutospacing="0" w:before="0" w:afterAutospacing="0" w:after="0"/>
        <w:ind w:left="-567" w:firstLine="567"/>
        <w:jc w:val="both"/>
        <w:rPr/>
      </w:pPr>
      <w:r>
        <w:rPr/>
        <w:t>Договор по рекламному продвижению включает участие в выставках в качестве промоутеров, изготовление рекламных изделий, наружная реклама и реклама в СМИ, общение с потенциальными участниками НП, проведение рекламных экскурсий.</w:t>
      </w:r>
    </w:p>
    <w:p>
      <w:pPr>
        <w:pStyle w:val="NormalWeb"/>
        <w:spacing w:beforeAutospacing="0" w:before="0" w:afterAutospacing="0" w:after="0"/>
        <w:ind w:left="-567" w:firstLine="567"/>
        <w:jc w:val="both"/>
        <w:rPr/>
      </w:pPr>
      <w:r>
        <w:rPr/>
        <w:t>В документах, предоставленных ревизионной комиссии, нет указаний на объемы выполненных работ по данным договорам. Акты выполненных работ оформляются регулярно. Учитывая близкую тематику договоров,  пересечения  предметов договоров (некоторые услуги прописаны в обоих договорах идентично) и отсутствие указаний на конкретные объемы услуг в актах, рассматривать эти договоры и расчеты по ним отдельно не имеет практического смысла.</w:t>
      </w:r>
    </w:p>
    <w:p>
      <w:pPr>
        <w:pStyle w:val="NormalWeb"/>
        <w:spacing w:beforeAutospacing="0" w:before="0" w:afterAutospacing="0" w:after="0"/>
        <w:ind w:left="-567" w:firstLine="567"/>
        <w:jc w:val="both"/>
        <w:rPr/>
      </w:pPr>
      <w:r>
        <w:rPr/>
        <w:t>По указанным двум договорам оплачено 9 645 000-00, предоставлены акты на сумму 10 150 000-00 (акты с №1 по №25), закрыто по учету услуг на 11 285 000-00. На отчетную дату в балансе отражена задолженность перед ООО «Единый центр» в сумме 1 820 000-00. При этом начисления за апрель 2015 года на сумму 1 315 000-00 произведены дважды в результате учетной ошибки, т.о. задолженность СНП перед ООО «Единый центр» завышена. Реальная задолженность составляет 505 000-00. Фактической переплаты нет.</w:t>
      </w:r>
    </w:p>
    <w:p>
      <w:pPr>
        <w:pStyle w:val="NormalWeb"/>
        <w:spacing w:beforeAutospacing="0" w:before="0" w:afterAutospacing="0" w:after="0"/>
        <w:ind w:left="-567" w:firstLine="567"/>
        <w:jc w:val="both"/>
        <w:rPr/>
      </w:pPr>
      <w:r>
        <w:rPr/>
        <w:t xml:space="preserve">Также в 2015 году были заключены разовые договоры – договор 03/НР от 23.10.2015 на изготовление 4-х наружных вывесок на сумму 325 000-00 и договор 04/НР от 15.12.2015 на изготовление 125 указателей 2-х размеров на сумму 270 000-00. Услуги по разовым договорам оказаны, приняты и оплачены. </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12.2.2. С контрагентом ООО «Мегалайн» заключен договор поставки №1-П/5-15 от 25.05.2015 на поставку нерудных строительных материалов (песок, щебень и т.п.) с протоколом согласования цены на ЩПС 0-80 мм в сумме 700 р за 1 м</w:t>
      </w:r>
      <w:r>
        <w:rPr>
          <w:vertAlign w:val="superscript"/>
        </w:rPr>
        <w:t>3</w:t>
      </w:r>
      <w:r>
        <w:rPr/>
        <w:t>. Фактически по данному договору поставлено 55.91 м</w:t>
      </w:r>
      <w:r>
        <w:rPr>
          <w:vertAlign w:val="superscript"/>
        </w:rPr>
        <w:t>3</w:t>
      </w:r>
      <w:r>
        <w:rPr/>
        <w:t xml:space="preserve"> по цене 750-00, 2356.61 м</w:t>
      </w:r>
      <w:r>
        <w:rPr>
          <w:vertAlign w:val="superscript"/>
        </w:rPr>
        <w:t>3</w:t>
      </w:r>
      <w:r>
        <w:rPr/>
        <w:t xml:space="preserve"> по цене 850-00 и 6486.78 м</w:t>
      </w:r>
      <w:r>
        <w:rPr>
          <w:vertAlign w:val="superscript"/>
        </w:rPr>
        <w:t>3</w:t>
      </w:r>
      <w:r>
        <w:rPr/>
        <w:t xml:space="preserve"> по цене 1050-00. Реальным поставщиком ЩПС является Торговый дом «Гранит-Логистик». По пояснениям администрации приобретение щебня у ООО «Мегалайн» обусловлено аналогичными ценами и предоставлением посредником рассрочки по оплате.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Оплачено в отчетном году по данному договору 7 981 384-00, оприходовано ЩПС на сумму 9 742 952-50, документы предоставлены на 8 856 170-00. Не предоставлены документы на поставки до 01.07.2015 на сумму 886 782-50. На отчетную дату отражен долг СНП в сумме 1 761 568-50.</w:t>
      </w:r>
    </w:p>
    <w:p>
      <w:pPr>
        <w:pStyle w:val="NormalWeb"/>
        <w:spacing w:beforeAutospacing="0" w:before="0" w:afterAutospacing="0" w:after="0"/>
        <w:jc w:val="both"/>
        <w:rPr/>
      </w:pPr>
      <w:r>
        <w:rPr/>
      </w:r>
    </w:p>
    <w:p>
      <w:pPr>
        <w:pStyle w:val="NormalWeb"/>
        <w:spacing w:beforeAutospacing="0" w:before="0" w:afterAutospacing="0" w:after="0"/>
        <w:jc w:val="both"/>
        <w:rPr/>
      </w:pPr>
      <w:r>
        <w:rPr/>
        <w:t>12.2.3 Кредиторская задолженность с суммами менее 100 000-00.</w:t>
      </w:r>
    </w:p>
    <w:p>
      <w:pPr>
        <w:pStyle w:val="NormalWeb"/>
        <w:spacing w:beforeAutospacing="0" w:before="0" w:afterAutospacing="0" w:after="0"/>
        <w:jc w:val="both"/>
        <w:rPr/>
      </w:pPr>
      <w:r>
        <w:rPr/>
        <w:t>С контрагентом ИП Бондарев Р.А. заключены следующие  договоры:</w:t>
      </w:r>
    </w:p>
    <w:p>
      <w:pPr>
        <w:pStyle w:val="NormalWeb"/>
        <w:spacing w:beforeAutospacing="0" w:before="0" w:afterAutospacing="0" w:after="0"/>
        <w:ind w:left="-567" w:firstLine="567"/>
        <w:jc w:val="both"/>
        <w:rPr/>
      </w:pPr>
      <w:r>
        <w:rPr/>
        <w:t>- договор на аренду автомобиля № 10/13-р от 20.10.2014 (аренда ГАЗ-33021 2001 г выпуска по цене 40 000-00 р в месяц), документы на автомобиль не предоставлены.</w:t>
      </w:r>
    </w:p>
    <w:p>
      <w:pPr>
        <w:pStyle w:val="NormalWeb"/>
        <w:spacing w:beforeAutospacing="0" w:before="0" w:afterAutospacing="0" w:after="0"/>
        <w:ind w:left="-567" w:firstLine="567"/>
        <w:jc w:val="both"/>
        <w:rPr/>
      </w:pPr>
      <w:r>
        <w:rPr/>
        <w:t>- договор на аренду автомобиля № 09/15 от 01.10.2015 (аренда ГАЗ 66-02 1985 г выпуска по цене 50 000-00 р в месяц), документы на автомобиль не предоставлены.</w:t>
      </w:r>
    </w:p>
    <w:p>
      <w:pPr>
        <w:pStyle w:val="NormalWeb"/>
        <w:spacing w:beforeAutospacing="0" w:before="0" w:afterAutospacing="0" w:after="0"/>
        <w:ind w:left="-567" w:firstLine="567"/>
        <w:jc w:val="both"/>
        <w:rPr/>
      </w:pPr>
      <w:r>
        <w:rPr/>
        <w:t>- договор на обслуживание сайта №09/13 от 01.10.13 (60 000-00 или 30 000-00 р в месяц) – договор не предоставлен,</w:t>
      </w:r>
    </w:p>
    <w:p>
      <w:pPr>
        <w:pStyle w:val="NormalWeb"/>
        <w:spacing w:beforeAutospacing="0" w:before="0" w:afterAutospacing="0" w:after="0"/>
        <w:ind w:left="-567" w:firstLine="567"/>
        <w:jc w:val="both"/>
        <w:rPr/>
      </w:pPr>
      <w:r>
        <w:rPr/>
        <w:t>- договор оказания услуг б/н от 17.01.2014 (посреднические и консультационные услуги) – договор не предоставлен.</w:t>
      </w:r>
    </w:p>
    <w:p>
      <w:pPr>
        <w:pStyle w:val="NormalWeb"/>
        <w:spacing w:beforeAutospacing="0" w:before="0" w:afterAutospacing="0" w:after="0"/>
        <w:ind w:left="-567" w:firstLine="567"/>
        <w:jc w:val="both"/>
        <w:rPr/>
      </w:pPr>
      <w:r>
        <w:rPr/>
        <w:t xml:space="preserve">В части учетных записей отсутствует корректное указание периода списания и оплаты, поэтому проверить реальность задолженности 30 000-00 невозможно. Скорее всего, задолженность не является реальной, поскольку оплата и закрытие актами услуг осуществлялись поквартально, сумма 30 000-00 квартальной сумме не соответствует ни по одному из договоров. </w:t>
      </w:r>
    </w:p>
    <w:p>
      <w:pPr>
        <w:pStyle w:val="NormalWeb"/>
        <w:spacing w:beforeAutospacing="0" w:before="0" w:afterAutospacing="0" w:after="0"/>
        <w:ind w:left="-567" w:firstLine="567"/>
        <w:jc w:val="both"/>
        <w:rPr/>
      </w:pPr>
      <w:r>
        <w:rPr/>
        <w:t>Актов оказанных услуг не предоставлено.</w:t>
      </w:r>
    </w:p>
    <w:p>
      <w:pPr>
        <w:pStyle w:val="NormalWeb"/>
        <w:spacing w:beforeAutospacing="0" w:before="0" w:afterAutospacing="0" w:after="0"/>
        <w:ind w:left="-567" w:firstLine="567"/>
        <w:jc w:val="both"/>
        <w:rPr/>
      </w:pPr>
      <w:r>
        <w:rPr/>
        <w:t>С контрагентами ООО «ПКФ «Петро-Васт» и ООО «Промышленная Балтийская компания» заключены договоры б/н от 19.08.2014 и № 96 от 01.11.2014 соответственно на вывоз мусора. Перечислено ООО «ПКФ «Петро-Васт» 62 130-00. Реальная задолженность ООО ПКФ «Петро-Васт» составляет 29 430-00, поскольку сумма услуг, оказанных за декабрь, не отражена в учете. Перечислено ООО «ПБК» 41 628-48 р, в т.ч. 2 924-04 задолженности за 2014 год, закрыто в учете 52 632-72, задолженность на отчетную дату 13 928-28 реальная. Закрывающие документы по ООО «ПКФ «Петро-Васт» частично отсутствуют, по ООО «ПБК» есть в полном объеме.</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 xml:space="preserve">12.3. Сумма 10,1 млн руб отражена как задолженность СНП перед садоводами по договорам подряда на электрокомплекты и монтаж. С 01.07.2016 года данные услуги оформляются договорами поручения, что является более уместным с точки зрения целей СНП. </w:t>
      </w:r>
    </w:p>
    <w:p>
      <w:pPr>
        <w:pStyle w:val="NormalWeb"/>
        <w:spacing w:beforeAutospacing="0" w:before="0" w:afterAutospacing="0" w:after="0"/>
        <w:ind w:left="-567" w:firstLine="567"/>
        <w:jc w:val="both"/>
        <w:rPr/>
      </w:pPr>
      <w:r>
        <w:rPr/>
        <w:t xml:space="preserve">На отчетную дату ни один договор подряда не закрыт актом выполненных работ, в реальность же работы выполнены и суммы не являются долгом СНП перед садоводами с точки зрения баланса. </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12.4. Долг по транспортному налогу в сумме 225 792-00 скорее всего, таковым не является. Природа данной учетной суммы не определена.</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12.5. Долг подотчетным лицам 158 404-58 мог возникнуть при учете расходов по авансовым отчетам в конце отчетного года и выплате перерасхода по ним в начале следующего года. Документы подотчетных лиц  не исследовались в рамках ревизии. Необходимо отметить, что лица, не являющиеся сотрудниками организации (Круглов, Бондарев) не могут быть подотчетными лицами. Общая сумма расходов, осуществленных через подотчетных лиц в 2015 году составила 1 316 464-56 р</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 xml:space="preserve">12.6. Долг по НДФЛ 13 458-41 может объясняться перерасчетом НДФЛ после выплаты ЗП или ошибкой. Начисления НДФЛ в учете соответствуют представленным ведомостям. Оплаты не соответствуют. Возможно, не начислены штрафные санкции, есть ошибки в перечислениях. Задолженности по подоходному налогу при выплаченной заработной плате за весь год у организации быть не должно.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13. Другие краткосрочные обязательства СНП на отчетную дату представлены в Табл.14</w:t>
      </w:r>
    </w:p>
    <w:p>
      <w:pPr>
        <w:pStyle w:val="NormalWeb"/>
        <w:spacing w:beforeAutospacing="0" w:before="0" w:afterAutospacing="0" w:after="0"/>
        <w:jc w:val="both"/>
        <w:rPr/>
      </w:pPr>
      <w:r>
        <w:rPr/>
      </w:r>
    </w:p>
    <w:p>
      <w:pPr>
        <w:pStyle w:val="NormalWeb"/>
        <w:spacing w:beforeAutospacing="0" w:before="0" w:afterAutospacing="0" w:after="0"/>
        <w:jc w:val="right"/>
        <w:rPr/>
      </w:pPr>
      <w:r>
        <w:rPr/>
        <w:t>Табл. 14</w:t>
      </w:r>
    </w:p>
    <w:tbl>
      <w:tblPr>
        <w:tblW w:w="9087" w:type="dxa"/>
        <w:jc w:val="left"/>
        <w:tblInd w:w="93"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4699"/>
        <w:gridCol w:w="1760"/>
        <w:gridCol w:w="2628"/>
      </w:tblGrid>
      <w:tr>
        <w:trPr>
          <w:trHeight w:val="315" w:hRule="atLeast"/>
        </w:trPr>
        <w:tc>
          <w:tcPr>
            <w:tcW w:w="4699"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Статья</w:t>
            </w:r>
          </w:p>
        </w:tc>
        <w:tc>
          <w:tcPr>
            <w:tcW w:w="1760"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 </w:t>
            </w:r>
          </w:p>
        </w:tc>
        <w:tc>
          <w:tcPr>
            <w:tcW w:w="2628" w:type="dxa"/>
            <w:tcBorders>
              <w:bottom w:val="double" w:sz="6" w:space="0" w:color="00000A"/>
              <w:insideH w:val="double" w:sz="6" w:space="0" w:color="00000A"/>
            </w:tcBorders>
            <w:shd w:fill="auto" w:val="clear"/>
            <w:vAlign w:val="bottom"/>
          </w:tcPr>
          <w:p>
            <w:pPr>
              <w:pStyle w:val="Normal"/>
              <w:spacing w:lineRule="auto" w:line="240" w:before="0" w:after="0"/>
              <w:rPr>
                <w:b/>
                <w:b/>
                <w:bCs/>
                <w:color w:val="000000"/>
                <w:lang w:eastAsia="ru-RU"/>
              </w:rPr>
            </w:pPr>
            <w:r>
              <w:rPr>
                <w:b/>
                <w:bCs/>
                <w:color w:val="000000"/>
                <w:lang w:eastAsia="ru-RU"/>
              </w:rPr>
              <w:t>Сумма, руб</w:t>
            </w:r>
          </w:p>
        </w:tc>
      </w:tr>
      <w:tr>
        <w:trPr>
          <w:trHeight w:val="315"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Целевые взносы на развитие инфраструктуры</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178 002 090.06</w:t>
            </w:r>
          </w:p>
        </w:tc>
      </w:tr>
      <w:tr>
        <w:trPr>
          <w:trHeight w:val="300"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Вступительные взносы</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170 492 948.58</w:t>
            </w:r>
          </w:p>
        </w:tc>
      </w:tr>
      <w:tr>
        <w:trPr>
          <w:trHeight w:val="247"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Членские взносы</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11 357 547.53</w:t>
            </w:r>
          </w:p>
        </w:tc>
      </w:tr>
      <w:tr>
        <w:trPr>
          <w:trHeight w:val="251"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Целевые взносы на газоснабжение</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3 773 800.00</w:t>
            </w:r>
          </w:p>
        </w:tc>
      </w:tr>
      <w:tr>
        <w:trPr>
          <w:trHeight w:val="300"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Добровольные взносы</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1 212 876.17</w:t>
            </w:r>
          </w:p>
        </w:tc>
      </w:tr>
      <w:tr>
        <w:trPr>
          <w:trHeight w:val="259"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Целевые взносы на топо-кадастровые работы</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789 821.67</w:t>
            </w:r>
          </w:p>
        </w:tc>
      </w:tr>
      <w:tr>
        <w:trPr>
          <w:trHeight w:val="300"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Целевые взносы на компенсацию аренды</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321 665.67</w:t>
            </w:r>
          </w:p>
        </w:tc>
      </w:tr>
      <w:tr>
        <w:trPr>
          <w:trHeight w:val="253"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Целевые взносы за выход из СНП</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60 000.00</w:t>
            </w:r>
          </w:p>
        </w:tc>
      </w:tr>
      <w:tr>
        <w:trPr>
          <w:trHeight w:val="300"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Убыток от предпринимательской деятельности</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-373 364.00</w:t>
            </w:r>
          </w:p>
        </w:tc>
      </w:tr>
      <w:tr>
        <w:trPr>
          <w:trHeight w:val="261"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t>Целевые взносы на электроэнергию</w:t>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color w:val="000000"/>
                <w:lang w:eastAsia="ru-RU"/>
              </w:rPr>
            </w:pPr>
            <w:r>
              <w:rPr>
                <w:color w:val="000000"/>
                <w:lang w:eastAsia="ru-RU"/>
              </w:rPr>
              <w:t>-1 276 092.61</w:t>
            </w:r>
          </w:p>
        </w:tc>
      </w:tr>
      <w:tr>
        <w:trPr>
          <w:trHeight w:val="300" w:hRule="atLeast"/>
        </w:trPr>
        <w:tc>
          <w:tcPr>
            <w:tcW w:w="4699" w:type="dxa"/>
            <w:tcBorders/>
            <w:shd w:fill="auto" w:val="clear"/>
            <w:vAlign w:val="bottom"/>
          </w:tcPr>
          <w:p>
            <w:pPr>
              <w:pStyle w:val="Normal"/>
              <w:spacing w:lineRule="auto" w:line="240" w:before="0" w:after="0"/>
              <w:rPr>
                <w:color w:val="000000"/>
                <w:lang w:eastAsia="ru-RU"/>
              </w:rPr>
            </w:pPr>
            <w:r>
              <w:rPr>
                <w:color w:val="000000"/>
                <w:lang w:eastAsia="ru-RU"/>
              </w:rPr>
            </w:r>
          </w:p>
        </w:tc>
        <w:tc>
          <w:tcPr>
            <w:tcW w:w="1760" w:type="dxa"/>
            <w:tcBorders/>
            <w:shd w:fill="auto" w:val="clear"/>
            <w:vAlign w:val="bottom"/>
          </w:tcPr>
          <w:p>
            <w:pPr>
              <w:pStyle w:val="Normal"/>
              <w:spacing w:lineRule="auto" w:line="240" w:before="0" w:after="0"/>
              <w:rPr>
                <w:color w:val="000000"/>
                <w:lang w:eastAsia="ru-RU"/>
              </w:rPr>
            </w:pPr>
            <w:r>
              <w:rPr>
                <w:color w:val="000000"/>
                <w:lang w:eastAsia="ru-RU"/>
              </w:rPr>
            </w:r>
          </w:p>
        </w:tc>
        <w:tc>
          <w:tcPr>
            <w:tcW w:w="2628" w:type="dxa"/>
            <w:tcBorders/>
            <w:shd w:fill="auto" w:val="clear"/>
            <w:vAlign w:val="bottom"/>
          </w:tcPr>
          <w:p>
            <w:pPr>
              <w:pStyle w:val="Normal"/>
              <w:spacing w:lineRule="auto" w:line="240" w:before="0" w:after="0"/>
              <w:jc w:val="right"/>
              <w:rPr>
                <w:b/>
                <w:b/>
                <w:bCs/>
                <w:color w:val="000000"/>
                <w:lang w:eastAsia="ru-RU"/>
              </w:rPr>
            </w:pPr>
            <w:r>
              <w:rPr>
                <w:b/>
                <w:bCs/>
                <w:color w:val="000000"/>
                <w:lang w:eastAsia="ru-RU"/>
              </w:rPr>
              <w:t>365 637 385.68</w:t>
            </w:r>
          </w:p>
        </w:tc>
      </w:tr>
    </w:tbl>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 xml:space="preserve">В данной статье отражены остатки неиспользованных на отчетную дату взносов членов СНП по видам, и убыток от предпринимательской деятельности (учтенный убыток и начисленный налог на прибыль). </w:t>
      </w:r>
    </w:p>
    <w:p>
      <w:pPr>
        <w:pStyle w:val="NormalWeb"/>
        <w:spacing w:beforeAutospacing="0" w:before="0" w:afterAutospacing="0" w:after="0"/>
        <w:ind w:left="-567" w:firstLine="567"/>
        <w:jc w:val="both"/>
        <w:rPr/>
      </w:pPr>
      <w:r>
        <w:rPr/>
        <w:t>Неиспользованные взносы показывают не только суммы неизрасходованных денежных средств, но и  суммы, оплаченные контрагентам, но незакрытые актами и приходными документами. Все незакрытые суммы исследованы и описаны выше, исследование сумм в данном отчете не имеет практического смысла.</w:t>
      </w:r>
    </w:p>
    <w:p>
      <w:pPr>
        <w:pStyle w:val="NormalWeb"/>
        <w:spacing w:beforeAutospacing="0" w:before="0" w:afterAutospacing="0" w:after="0"/>
        <w:ind w:left="-567" w:firstLine="567"/>
        <w:jc w:val="both"/>
        <w:rPr/>
      </w:pPr>
      <w:r>
        <w:rPr/>
        <w:t xml:space="preserve">Природа убытка не исследовалась, в целом убытка в СНП быть не должно. Налог на прибыль с авансов не может признаваться  убытком. Отрицательная сумма по целевым взносам за электроэнергию является учетной ошибкой. Это сумма, начисленная ПСК с января по октябрь (см. Прим.6.10). Возмещений от садоводов не проведено, хотя их не могло не быть. </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14. Отчет о целевом  использовании средств (обязательная отчетность некоммерческих организаций) представлен в табл.15.</w:t>
      </w:r>
    </w:p>
    <w:p>
      <w:pPr>
        <w:pStyle w:val="NormalWeb"/>
        <w:spacing w:beforeAutospacing="0" w:before="0" w:afterAutospacing="0" w:after="0"/>
        <w:jc w:val="right"/>
        <w:rPr/>
      </w:pPr>
      <w:r>
        <w:rPr/>
        <w:t>Табл.15</w:t>
      </w:r>
    </w:p>
    <w:tbl>
      <w:tblPr>
        <w:tblW w:w="9903" w:type="dxa"/>
        <w:jc w:val="left"/>
        <w:tblInd w:w="-459" w:type="dxa"/>
        <w:tblBorders>
          <w:bottom w:val="double" w:sz="6" w:space="0" w:color="00000A"/>
          <w:insideH w:val="double" w:sz="6" w:space="0" w:color="00000A"/>
        </w:tblBorders>
        <w:tblCellMar>
          <w:top w:w="0" w:type="dxa"/>
          <w:left w:w="108" w:type="dxa"/>
          <w:bottom w:w="0" w:type="dxa"/>
          <w:right w:w="108" w:type="dxa"/>
        </w:tblCellMar>
        <w:tblLook w:noVBand="0" w:val="00a0" w:noHBand="0" w:lastColumn="0" w:firstColumn="1" w:lastRow="0" w:firstRow="1"/>
      </w:tblPr>
      <w:tblGrid>
        <w:gridCol w:w="4551"/>
        <w:gridCol w:w="1701"/>
        <w:gridCol w:w="1838"/>
        <w:gridCol w:w="1812"/>
      </w:tblGrid>
      <w:tr>
        <w:trPr>
          <w:trHeight w:val="315" w:hRule="atLeast"/>
        </w:trPr>
        <w:tc>
          <w:tcPr>
            <w:tcW w:w="4551" w:type="dxa"/>
            <w:tcBorders>
              <w:bottom w:val="double" w:sz="6" w:space="0" w:color="00000A"/>
              <w:insideH w:val="double" w:sz="6" w:space="0" w:color="00000A"/>
            </w:tcBorders>
            <w:shd w:fill="auto" w:val="clear"/>
            <w:vAlign w:val="bottom"/>
          </w:tcPr>
          <w:p>
            <w:pPr>
              <w:pStyle w:val="Normal"/>
              <w:spacing w:lineRule="auto" w:line="240" w:before="0" w:after="0"/>
              <w:jc w:val="center"/>
              <w:rPr>
                <w:b/>
                <w:b/>
                <w:bCs/>
                <w:color w:val="000000"/>
                <w:lang w:eastAsia="ru-RU"/>
              </w:rPr>
            </w:pPr>
            <w:r>
              <w:rPr>
                <w:b/>
                <w:bCs/>
                <w:color w:val="000000"/>
                <w:lang w:eastAsia="ru-RU"/>
              </w:rPr>
              <w:t>Статья</w:t>
            </w:r>
          </w:p>
        </w:tc>
        <w:tc>
          <w:tcPr>
            <w:tcW w:w="1701" w:type="dxa"/>
            <w:tcBorders>
              <w:bottom w:val="double" w:sz="6" w:space="0" w:color="00000A"/>
              <w:insideH w:val="double" w:sz="6" w:space="0" w:color="00000A"/>
            </w:tcBorders>
            <w:shd w:fill="auto" w:val="clear"/>
            <w:vAlign w:val="bottom"/>
          </w:tcPr>
          <w:p>
            <w:pPr>
              <w:pStyle w:val="Normal"/>
              <w:spacing w:lineRule="auto" w:line="240" w:before="0" w:after="0"/>
              <w:jc w:val="center"/>
              <w:rPr>
                <w:b/>
                <w:b/>
                <w:bCs/>
                <w:color w:val="000000"/>
                <w:lang w:eastAsia="ru-RU"/>
              </w:rPr>
            </w:pPr>
            <w:r>
              <w:rPr>
                <w:b/>
                <w:bCs/>
                <w:color w:val="000000"/>
                <w:lang w:eastAsia="ru-RU"/>
              </w:rPr>
              <w:t xml:space="preserve">2015, </w:t>
            </w:r>
            <w:r>
              <w:rPr>
                <w:color w:val="000000"/>
                <w:lang w:eastAsia="ru-RU"/>
              </w:rPr>
              <w:t>тыс.р</w:t>
            </w:r>
          </w:p>
        </w:tc>
        <w:tc>
          <w:tcPr>
            <w:tcW w:w="1838" w:type="dxa"/>
            <w:tcBorders>
              <w:bottom w:val="double" w:sz="6" w:space="0" w:color="00000A"/>
              <w:insideH w:val="double" w:sz="6" w:space="0" w:color="00000A"/>
            </w:tcBorders>
            <w:shd w:fill="auto" w:val="clear"/>
            <w:vAlign w:val="bottom"/>
          </w:tcPr>
          <w:p>
            <w:pPr>
              <w:pStyle w:val="Normal"/>
              <w:spacing w:lineRule="auto" w:line="240" w:before="0" w:after="0"/>
              <w:jc w:val="center"/>
              <w:rPr>
                <w:b/>
                <w:b/>
                <w:bCs/>
                <w:color w:val="000000"/>
                <w:lang w:eastAsia="ru-RU"/>
              </w:rPr>
            </w:pPr>
            <w:r>
              <w:rPr>
                <w:b/>
                <w:bCs/>
                <w:color w:val="000000"/>
                <w:lang w:eastAsia="ru-RU"/>
              </w:rPr>
              <w:t xml:space="preserve">2014, </w:t>
            </w:r>
            <w:r>
              <w:rPr>
                <w:color w:val="000000"/>
                <w:lang w:eastAsia="ru-RU"/>
              </w:rPr>
              <w:t>тыс.р</w:t>
            </w:r>
          </w:p>
        </w:tc>
        <w:tc>
          <w:tcPr>
            <w:tcW w:w="1812" w:type="dxa"/>
            <w:tcBorders>
              <w:bottom w:val="double" w:sz="6" w:space="0" w:color="00000A"/>
              <w:insideH w:val="double" w:sz="6" w:space="0" w:color="00000A"/>
            </w:tcBorders>
            <w:shd w:fill="auto" w:val="clear"/>
            <w:vAlign w:val="bottom"/>
          </w:tcPr>
          <w:p>
            <w:pPr>
              <w:pStyle w:val="Normal"/>
              <w:spacing w:lineRule="auto" w:line="240" w:before="0" w:after="0"/>
              <w:jc w:val="center"/>
              <w:rPr>
                <w:b/>
                <w:b/>
                <w:bCs/>
                <w:color w:val="000000"/>
                <w:lang w:eastAsia="ru-RU"/>
              </w:rPr>
            </w:pPr>
            <w:r>
              <w:rPr>
                <w:b/>
                <w:bCs/>
                <w:color w:val="000000"/>
                <w:lang w:eastAsia="ru-RU"/>
              </w:rPr>
              <w:t xml:space="preserve">2013, </w:t>
            </w:r>
            <w:r>
              <w:rPr>
                <w:color w:val="000000"/>
                <w:lang w:eastAsia="ru-RU"/>
              </w:rPr>
              <w:t>тыс.р</w:t>
            </w:r>
          </w:p>
        </w:tc>
      </w:tr>
      <w:tr>
        <w:trPr>
          <w:trHeight w:val="315" w:hRule="atLeast"/>
        </w:trPr>
        <w:tc>
          <w:tcPr>
            <w:tcW w:w="4551" w:type="dxa"/>
            <w:tcBorders/>
            <w:shd w:fill="auto" w:val="clear"/>
            <w:vAlign w:val="bottom"/>
          </w:tcPr>
          <w:p>
            <w:pPr>
              <w:pStyle w:val="Normal"/>
              <w:spacing w:lineRule="auto" w:line="240" w:before="0" w:after="0"/>
              <w:rPr>
                <w:b/>
                <w:b/>
                <w:bCs/>
                <w:i/>
                <w:i/>
                <w:iCs/>
                <w:color w:val="000000"/>
                <w:sz w:val="18"/>
                <w:szCs w:val="18"/>
                <w:lang w:eastAsia="ru-RU"/>
              </w:rPr>
            </w:pPr>
            <w:r>
              <w:rPr>
                <w:b/>
                <w:bCs/>
                <w:i/>
                <w:iCs/>
                <w:color w:val="000000"/>
                <w:sz w:val="18"/>
                <w:szCs w:val="18"/>
                <w:lang w:eastAsia="ru-RU"/>
              </w:rPr>
              <w:t>Остаток на начало года</w:t>
            </w:r>
          </w:p>
        </w:tc>
        <w:tc>
          <w:tcPr>
            <w:tcW w:w="1701"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236 118 </w:t>
            </w:r>
          </w:p>
        </w:tc>
        <w:tc>
          <w:tcPr>
            <w:tcW w:w="1838"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209 824 </w:t>
            </w:r>
          </w:p>
        </w:tc>
        <w:tc>
          <w:tcPr>
            <w:tcW w:w="1812"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80 331 </w:t>
            </w:r>
          </w:p>
        </w:tc>
      </w:tr>
      <w:tr>
        <w:trPr>
          <w:trHeight w:val="300" w:hRule="atLeast"/>
        </w:trPr>
        <w:tc>
          <w:tcPr>
            <w:tcW w:w="4551" w:type="dxa"/>
            <w:tcBorders/>
            <w:shd w:fill="auto" w:val="clear"/>
            <w:vAlign w:val="bottom"/>
          </w:tcPr>
          <w:p>
            <w:pPr>
              <w:pStyle w:val="Normal"/>
              <w:spacing w:lineRule="auto" w:line="240" w:before="0" w:after="0"/>
              <w:rPr>
                <w:b/>
                <w:b/>
                <w:bCs/>
                <w:i/>
                <w:i/>
                <w:iCs/>
                <w:color w:val="000000"/>
                <w:sz w:val="18"/>
                <w:szCs w:val="18"/>
                <w:lang w:eastAsia="ru-RU"/>
              </w:rPr>
            </w:pPr>
            <w:r>
              <w:rPr>
                <w:b/>
                <w:bCs/>
                <w:i/>
                <w:iCs/>
                <w:color w:val="000000"/>
                <w:sz w:val="18"/>
                <w:szCs w:val="18"/>
                <w:lang w:eastAsia="ru-RU"/>
              </w:rPr>
              <w:t>Поступило средств, в т.ч.</w:t>
            </w:r>
          </w:p>
        </w:tc>
        <w:tc>
          <w:tcPr>
            <w:tcW w:w="1701"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176 212 </w:t>
            </w:r>
          </w:p>
        </w:tc>
        <w:tc>
          <w:tcPr>
            <w:tcW w:w="1838"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126 957 </w:t>
            </w:r>
          </w:p>
        </w:tc>
        <w:tc>
          <w:tcPr>
            <w:tcW w:w="1812"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162 081 </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Взносы</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167 110 </w:t>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125 797 </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161 980 </w:t>
            </w:r>
          </w:p>
        </w:tc>
      </w:tr>
      <w:tr>
        <w:trPr>
          <w:trHeight w:val="300" w:hRule="atLeast"/>
        </w:trPr>
        <w:tc>
          <w:tcPr>
            <w:tcW w:w="4551" w:type="dxa"/>
            <w:tcBorders/>
            <w:shd w:fill="auto" w:val="clear"/>
            <w:vAlign w:val="bottom"/>
          </w:tcPr>
          <w:p>
            <w:pPr>
              <w:pStyle w:val="Normal"/>
              <w:spacing w:lineRule="auto" w:line="240" w:before="0" w:after="0"/>
              <w:ind w:left="-93" w:firstLine="93"/>
              <w:rPr>
                <w:color w:val="000000"/>
                <w:sz w:val="18"/>
                <w:szCs w:val="18"/>
                <w:lang w:eastAsia="ru-RU"/>
              </w:rPr>
            </w:pPr>
            <w:r>
              <w:rPr>
                <w:color w:val="000000"/>
                <w:sz w:val="18"/>
                <w:szCs w:val="18"/>
                <w:lang w:eastAsia="ru-RU"/>
              </w:rPr>
              <w:t>вступительные</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61 692 </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77 328 </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членские </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5 615 </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5 090 </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целевые</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58 044 </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78 990 </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добровольные</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446 </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572 </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Прибыль</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9 073 </w:t>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1 057 </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   </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Прочие поступления</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29 </w:t>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103 </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 xml:space="preserve">101 </w:t>
            </w:r>
          </w:p>
        </w:tc>
      </w:tr>
      <w:tr>
        <w:trPr>
          <w:trHeight w:val="300" w:hRule="atLeast"/>
        </w:trPr>
        <w:tc>
          <w:tcPr>
            <w:tcW w:w="4551" w:type="dxa"/>
            <w:tcBorders/>
            <w:shd w:fill="auto" w:val="clear"/>
            <w:vAlign w:val="bottom"/>
          </w:tcPr>
          <w:p>
            <w:pPr>
              <w:pStyle w:val="Normal"/>
              <w:spacing w:lineRule="auto" w:line="240" w:before="0" w:after="0"/>
              <w:rPr>
                <w:b/>
                <w:b/>
                <w:bCs/>
                <w:i/>
                <w:i/>
                <w:iCs/>
                <w:color w:val="000000"/>
                <w:sz w:val="18"/>
                <w:szCs w:val="18"/>
                <w:lang w:eastAsia="ru-RU"/>
              </w:rPr>
            </w:pPr>
            <w:r>
              <w:rPr>
                <w:b/>
                <w:bCs/>
                <w:i/>
                <w:iCs/>
                <w:color w:val="000000"/>
                <w:sz w:val="18"/>
                <w:szCs w:val="18"/>
                <w:lang w:eastAsia="ru-RU"/>
              </w:rPr>
              <w:t>Использовано средств, в т.ч.</w:t>
            </w:r>
          </w:p>
        </w:tc>
        <w:tc>
          <w:tcPr>
            <w:tcW w:w="1701"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(112 923)</w:t>
            </w:r>
          </w:p>
        </w:tc>
        <w:tc>
          <w:tcPr>
            <w:tcW w:w="1838"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(100 663)</w:t>
            </w:r>
          </w:p>
        </w:tc>
        <w:tc>
          <w:tcPr>
            <w:tcW w:w="1812"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(32 590)</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На целевые мероприятия</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(60 426)</w:t>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(63 567)</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(6 750)</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На содержание организации</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(10 562)</w:t>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(9 646)</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(6 080)</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ФОТ + начисления</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(6 819)</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(4 043)</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Содержание имущества</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(1 673)</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(1 769)</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 xml:space="preserve">        </w:t>
            </w:r>
            <w:r>
              <w:rPr>
                <w:color w:val="000000"/>
                <w:sz w:val="18"/>
                <w:szCs w:val="18"/>
                <w:lang w:eastAsia="ru-RU"/>
              </w:rPr>
              <w:t>- Прочие</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(1 154)</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(268)</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На приобретение основных средств и иного имущества</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(8 861)</w:t>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(391)</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(204)</w:t>
            </w:r>
          </w:p>
        </w:tc>
      </w:tr>
      <w:tr>
        <w:trPr>
          <w:trHeight w:val="300" w:hRule="atLeast"/>
        </w:trPr>
        <w:tc>
          <w:tcPr>
            <w:tcW w:w="4551" w:type="dxa"/>
            <w:tcBorders/>
            <w:shd w:fill="auto" w:val="clear"/>
            <w:vAlign w:val="bottom"/>
          </w:tcPr>
          <w:p>
            <w:pPr>
              <w:pStyle w:val="Normal"/>
              <w:spacing w:lineRule="auto" w:line="240" w:before="0" w:after="0"/>
              <w:rPr>
                <w:color w:val="000000"/>
                <w:sz w:val="18"/>
                <w:szCs w:val="18"/>
                <w:lang w:eastAsia="ru-RU"/>
              </w:rPr>
            </w:pPr>
            <w:r>
              <w:rPr>
                <w:color w:val="000000"/>
                <w:sz w:val="18"/>
                <w:szCs w:val="18"/>
                <w:lang w:eastAsia="ru-RU"/>
              </w:rPr>
              <w:t>Прочие</w:t>
            </w:r>
          </w:p>
        </w:tc>
        <w:tc>
          <w:tcPr>
            <w:tcW w:w="1701"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(33 074)</w:t>
            </w:r>
          </w:p>
        </w:tc>
        <w:tc>
          <w:tcPr>
            <w:tcW w:w="1838"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(27 059)</w:t>
            </w:r>
          </w:p>
        </w:tc>
        <w:tc>
          <w:tcPr>
            <w:tcW w:w="1812" w:type="dxa"/>
            <w:tcBorders/>
            <w:shd w:fill="auto" w:val="clear"/>
            <w:vAlign w:val="bottom"/>
          </w:tcPr>
          <w:p>
            <w:pPr>
              <w:pStyle w:val="Normal"/>
              <w:spacing w:lineRule="auto" w:line="240" w:before="0" w:after="0"/>
              <w:jc w:val="center"/>
              <w:rPr>
                <w:color w:val="000000"/>
                <w:sz w:val="18"/>
                <w:szCs w:val="18"/>
                <w:lang w:eastAsia="ru-RU"/>
              </w:rPr>
            </w:pPr>
            <w:r>
              <w:rPr>
                <w:color w:val="000000"/>
                <w:sz w:val="18"/>
                <w:szCs w:val="18"/>
                <w:lang w:eastAsia="ru-RU"/>
              </w:rPr>
              <w:t xml:space="preserve">       </w:t>
            </w:r>
            <w:r>
              <w:rPr>
                <w:color w:val="000000"/>
                <w:sz w:val="18"/>
                <w:szCs w:val="18"/>
                <w:lang w:eastAsia="ru-RU"/>
              </w:rPr>
              <w:t>(19 556)</w:t>
            </w:r>
          </w:p>
        </w:tc>
      </w:tr>
      <w:tr>
        <w:trPr>
          <w:trHeight w:val="300" w:hRule="atLeast"/>
        </w:trPr>
        <w:tc>
          <w:tcPr>
            <w:tcW w:w="4551" w:type="dxa"/>
            <w:tcBorders/>
            <w:shd w:fill="auto" w:val="clear"/>
            <w:vAlign w:val="bottom"/>
          </w:tcPr>
          <w:p>
            <w:pPr>
              <w:pStyle w:val="Normal"/>
              <w:spacing w:lineRule="auto" w:line="240" w:before="0" w:after="0"/>
              <w:rPr>
                <w:b/>
                <w:b/>
                <w:bCs/>
                <w:i/>
                <w:i/>
                <w:iCs/>
                <w:color w:val="000000"/>
                <w:sz w:val="18"/>
                <w:szCs w:val="18"/>
                <w:lang w:eastAsia="ru-RU"/>
              </w:rPr>
            </w:pPr>
            <w:r>
              <w:rPr>
                <w:b/>
                <w:bCs/>
                <w:i/>
                <w:iCs/>
                <w:color w:val="000000"/>
                <w:sz w:val="18"/>
                <w:szCs w:val="18"/>
                <w:lang w:eastAsia="ru-RU"/>
              </w:rPr>
              <w:t>Остаток на конец года</w:t>
            </w:r>
          </w:p>
        </w:tc>
        <w:tc>
          <w:tcPr>
            <w:tcW w:w="1701"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299 407 </w:t>
            </w:r>
          </w:p>
        </w:tc>
        <w:tc>
          <w:tcPr>
            <w:tcW w:w="1838"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236 118 </w:t>
            </w:r>
          </w:p>
        </w:tc>
        <w:tc>
          <w:tcPr>
            <w:tcW w:w="1812" w:type="dxa"/>
            <w:tcBorders/>
            <w:shd w:fill="auto" w:val="clear"/>
            <w:vAlign w:val="bottom"/>
          </w:tcPr>
          <w:p>
            <w:pPr>
              <w:pStyle w:val="Normal"/>
              <w:spacing w:lineRule="auto" w:line="240" w:before="0" w:after="0"/>
              <w:jc w:val="center"/>
              <w:rPr>
                <w:b/>
                <w:b/>
                <w:bCs/>
                <w:i/>
                <w:i/>
                <w:iCs/>
                <w:color w:val="000000"/>
                <w:sz w:val="18"/>
                <w:szCs w:val="18"/>
                <w:lang w:eastAsia="ru-RU"/>
              </w:rPr>
            </w:pPr>
            <w:r>
              <w:rPr>
                <w:b/>
                <w:bCs/>
                <w:i/>
                <w:iCs/>
                <w:color w:val="000000"/>
                <w:sz w:val="18"/>
                <w:szCs w:val="18"/>
                <w:lang w:eastAsia="ru-RU"/>
              </w:rPr>
              <w:t xml:space="preserve">       </w:t>
            </w:r>
            <w:r>
              <w:rPr>
                <w:b/>
                <w:bCs/>
                <w:i/>
                <w:iCs/>
                <w:color w:val="000000"/>
                <w:sz w:val="18"/>
                <w:szCs w:val="18"/>
                <w:lang w:eastAsia="ru-RU"/>
              </w:rPr>
              <w:t xml:space="preserve">209 822 </w:t>
            </w:r>
          </w:p>
        </w:tc>
      </w:tr>
    </w:tbl>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 xml:space="preserve">Данный отчет является частью обязательной фин.отчетности, предоставляемой в налоговые органы. По идее, остатки неиспользованных взносов по данному отчету, должны быть идентичны остаткам аналогичных взносов, учтенных в балансе (Прим.13). Но суммы не идентичны, природа разниц не понятна, скорее всего, это - учетные ошибки.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15. Смета расходов и отчет о ее исполнении</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Ревизионной комиссии предоставлена смета доходов и расходов СНП на общую сумму 147 682 000-00, утвержденная Протоколом общего собрания от 06/02/2015.</w:t>
      </w:r>
    </w:p>
    <w:p>
      <w:pPr>
        <w:pStyle w:val="NormalWeb"/>
        <w:spacing w:beforeAutospacing="0" w:before="0" w:afterAutospacing="0" w:after="0"/>
        <w:ind w:left="-567" w:firstLine="567"/>
        <w:jc w:val="both"/>
        <w:rPr/>
      </w:pPr>
      <w:r>
        <w:rPr/>
        <w:t>Поскольку Отчет об использовании средств, основанный на данных бухгалтерского учета, не информативен, ревизионной комиссии были предоставлены управленческие данные о расходовании средств, на основании которых ревизионная комиссия составила Отчет об использовании средств (план-факт) и Отчет об использовании средств (приходно-расходный)</w:t>
      </w:r>
    </w:p>
    <w:p>
      <w:pPr>
        <w:pStyle w:val="NormalWeb"/>
        <w:spacing w:beforeAutospacing="0" w:before="0" w:afterAutospacing="0" w:after="0"/>
        <w:ind w:left="-567" w:firstLine="567"/>
        <w:jc w:val="both"/>
        <w:rPr/>
      </w:pPr>
      <w:r>
        <w:rPr/>
        <w:t>Отчет об исполнении сметы (план-факт) представлен в табл.16</w:t>
      </w:r>
    </w:p>
    <w:p>
      <w:pPr>
        <w:pStyle w:val="NormalWeb"/>
        <w:spacing w:beforeAutospacing="0" w:before="0" w:afterAutospacing="0" w:after="0"/>
        <w:ind w:left="-567" w:firstLine="567"/>
        <w:jc w:val="right"/>
        <w:rPr/>
      </w:pPr>
      <w:r>
        <w:rPr/>
        <w:t>Табл.16</w:t>
      </w:r>
    </w:p>
    <w:p>
      <w:pPr>
        <w:pStyle w:val="NormalWeb"/>
        <w:spacing w:beforeAutospacing="0" w:before="0" w:afterAutospacing="0" w:after="0"/>
        <w:ind w:left="-567" w:firstLine="567"/>
        <w:jc w:val="right"/>
        <w:rPr/>
      </w:pPr>
      <w:r>
        <w:rPr/>
      </w:r>
    </w:p>
    <w:tbl>
      <w:tblPr>
        <w:tblW w:w="9478" w:type="dxa"/>
        <w:jc w:val="left"/>
        <w:tblInd w:w="93" w:type="dxa"/>
        <w:tblBorders/>
        <w:tblCellMar>
          <w:top w:w="0" w:type="dxa"/>
          <w:left w:w="108" w:type="dxa"/>
          <w:bottom w:w="0" w:type="dxa"/>
          <w:right w:w="108" w:type="dxa"/>
        </w:tblCellMar>
        <w:tblLook w:noVBand="0" w:val="00a0" w:noHBand="0" w:lastColumn="0" w:firstColumn="1" w:lastRow="0" w:firstRow="1"/>
      </w:tblPr>
      <w:tblGrid>
        <w:gridCol w:w="1319"/>
        <w:gridCol w:w="4909"/>
        <w:gridCol w:w="1585"/>
        <w:gridCol w:w="1"/>
        <w:gridCol w:w="1663"/>
      </w:tblGrid>
      <w:tr>
        <w:trPr>
          <w:trHeight w:val="315" w:hRule="atLeast"/>
        </w:trPr>
        <w:tc>
          <w:tcPr>
            <w:tcW w:w="1319" w:type="dxa"/>
            <w:tcBorders/>
            <w:shd w:fill="auto" w:val="clear"/>
            <w:vAlign w:val="center"/>
          </w:tcPr>
          <w:p>
            <w:pPr>
              <w:pStyle w:val="Normal"/>
              <w:spacing w:lineRule="auto" w:line="240" w:before="0" w:after="0"/>
              <w:jc w:val="center"/>
              <w:rPr>
                <w:sz w:val="24"/>
                <w:szCs w:val="24"/>
                <w:lang w:eastAsia="ru-RU"/>
              </w:rPr>
            </w:pPr>
            <w:r>
              <w:rPr>
                <w:sz w:val="24"/>
                <w:szCs w:val="24"/>
                <w:lang w:eastAsia="ru-RU"/>
              </w:rPr>
            </w:r>
          </w:p>
        </w:tc>
        <w:tc>
          <w:tcPr>
            <w:tcW w:w="6495" w:type="dxa"/>
            <w:gridSpan w:val="3"/>
            <w:tcBorders/>
            <w:shd w:fill="auto" w:val="clear"/>
            <w:vAlign w:val="center"/>
          </w:tcPr>
          <w:p>
            <w:pPr>
              <w:pStyle w:val="Normal"/>
              <w:spacing w:lineRule="auto" w:line="240" w:before="0" w:after="0"/>
              <w:rPr>
                <w:sz w:val="20"/>
                <w:szCs w:val="20"/>
                <w:lang w:eastAsia="ru-RU"/>
              </w:rPr>
            </w:pPr>
            <w:r>
              <w:rPr>
                <w:sz w:val="24"/>
                <w:szCs w:val="24"/>
                <w:lang w:eastAsia="ru-RU"/>
              </w:rPr>
              <w:t>ОТЧЕТ ОБ ИСПОЛЬЗОВАНИИ  СРЕДСТВ (ПЛАН-ФАКТ)</w:t>
            </w:r>
          </w:p>
        </w:tc>
        <w:tc>
          <w:tcPr>
            <w:tcW w:w="1663" w:type="dxa"/>
            <w:tcBorders/>
            <w:shd w:fill="auto" w:val="clear"/>
            <w:vAlign w:val="center"/>
          </w:tcPr>
          <w:p>
            <w:pPr>
              <w:pStyle w:val="Normal"/>
              <w:spacing w:lineRule="auto" w:line="240" w:before="0" w:after="0"/>
              <w:jc w:val="center"/>
              <w:rPr>
                <w:sz w:val="24"/>
                <w:szCs w:val="24"/>
                <w:lang w:eastAsia="ru-RU"/>
              </w:rPr>
            </w:pPr>
            <w:r>
              <w:rPr>
                <w:sz w:val="24"/>
                <w:szCs w:val="24"/>
                <w:lang w:eastAsia="ru-RU"/>
              </w:rPr>
            </w:r>
          </w:p>
        </w:tc>
      </w:tr>
      <w:tr>
        <w:trPr>
          <w:trHeight w:val="300" w:hRule="atLeast"/>
        </w:trPr>
        <w:tc>
          <w:tcPr>
            <w:tcW w:w="6228" w:type="dxa"/>
            <w:gridSpan w:val="2"/>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1585"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1664" w:type="dxa"/>
            <w:gridSpan w:val="2"/>
            <w:tcBorders/>
            <w:shd w:fill="auto" w:val="clear"/>
            <w:vAlign w:val="bottom"/>
          </w:tcPr>
          <w:p>
            <w:pPr>
              <w:pStyle w:val="Normal"/>
              <w:spacing w:lineRule="auto" w:line="240" w:before="0" w:after="0"/>
              <w:jc w:val="right"/>
              <w:rPr>
                <w:color w:val="000000"/>
                <w:lang w:eastAsia="ru-RU"/>
              </w:rPr>
            </w:pPr>
            <w:r>
              <w:rPr>
                <w:color w:val="000000"/>
                <w:lang w:eastAsia="ru-RU"/>
              </w:rPr>
            </w:r>
          </w:p>
        </w:tc>
      </w:tr>
      <w:tr>
        <w:trPr>
          <w:trHeight w:val="915" w:hRule="atLeast"/>
        </w:trPr>
        <w:tc>
          <w:tcPr>
            <w:tcW w:w="6228" w:type="dxa"/>
            <w:gridSpan w:val="2"/>
            <w:tcBorders>
              <w:bottom w:val="double" w:sz="6" w:space="0" w:color="00000A"/>
              <w:insideH w:val="double" w:sz="6" w:space="0" w:color="00000A"/>
            </w:tcBorders>
            <w:shd w:fill="auto" w:val="clear"/>
            <w:vAlign w:val="center"/>
          </w:tcPr>
          <w:p>
            <w:pPr>
              <w:pStyle w:val="Normal"/>
              <w:spacing w:lineRule="auto" w:line="240" w:before="0" w:after="0"/>
              <w:jc w:val="center"/>
              <w:rPr>
                <w:b/>
                <w:b/>
                <w:bCs/>
                <w:i/>
                <w:i/>
                <w:iCs/>
                <w:lang w:eastAsia="ru-RU"/>
              </w:rPr>
            </w:pPr>
            <w:r>
              <w:rPr>
                <w:b/>
                <w:bCs/>
                <w:i/>
                <w:iCs/>
                <w:lang w:eastAsia="ru-RU"/>
              </w:rPr>
              <w:t>Статья</w:t>
            </w:r>
          </w:p>
        </w:tc>
        <w:tc>
          <w:tcPr>
            <w:tcW w:w="1585" w:type="dxa"/>
            <w:tcBorders>
              <w:bottom w:val="double" w:sz="6" w:space="0" w:color="00000A"/>
              <w:insideH w:val="double" w:sz="6" w:space="0" w:color="00000A"/>
            </w:tcBorders>
            <w:shd w:fill="auto" w:val="clear"/>
            <w:vAlign w:val="center"/>
          </w:tcPr>
          <w:p>
            <w:pPr>
              <w:pStyle w:val="Normal"/>
              <w:spacing w:lineRule="auto" w:line="240" w:before="0" w:after="0"/>
              <w:jc w:val="center"/>
              <w:rPr>
                <w:b/>
                <w:b/>
                <w:bCs/>
                <w:i/>
                <w:i/>
                <w:iCs/>
                <w:lang w:eastAsia="ru-RU"/>
              </w:rPr>
            </w:pPr>
            <w:r>
              <w:rPr>
                <w:b/>
                <w:bCs/>
                <w:i/>
                <w:iCs/>
                <w:lang w:eastAsia="ru-RU"/>
              </w:rPr>
              <w:t>План</w:t>
            </w:r>
          </w:p>
        </w:tc>
        <w:tc>
          <w:tcPr>
            <w:tcW w:w="1664" w:type="dxa"/>
            <w:gridSpan w:val="2"/>
            <w:tcBorders>
              <w:bottom w:val="double" w:sz="6" w:space="0" w:color="00000A"/>
              <w:insideH w:val="double" w:sz="6" w:space="0" w:color="00000A"/>
            </w:tcBorders>
            <w:shd w:fill="auto" w:val="clear"/>
            <w:vAlign w:val="center"/>
          </w:tcPr>
          <w:p>
            <w:pPr>
              <w:pStyle w:val="Normal"/>
              <w:spacing w:lineRule="auto" w:line="240" w:before="0" w:after="0"/>
              <w:jc w:val="right"/>
              <w:rPr>
                <w:b/>
                <w:b/>
                <w:bCs/>
                <w:i/>
                <w:i/>
                <w:iCs/>
                <w:lang w:eastAsia="ru-RU"/>
              </w:rPr>
            </w:pPr>
            <w:r>
              <w:rPr>
                <w:b/>
                <w:bCs/>
                <w:i/>
                <w:iCs/>
                <w:lang w:eastAsia="ru-RU"/>
              </w:rPr>
              <w:t>Факт</w:t>
            </w:r>
          </w:p>
        </w:tc>
      </w:tr>
      <w:tr>
        <w:trPr>
          <w:trHeight w:val="315" w:hRule="atLeast"/>
        </w:trPr>
        <w:tc>
          <w:tcPr>
            <w:tcW w:w="6228" w:type="dxa"/>
            <w:gridSpan w:val="2"/>
            <w:tcBorders>
              <w:top w:val="double" w:sz="6" w:space="0" w:color="00000A"/>
            </w:tcBorders>
            <w:shd w:fill="auto" w:val="clear"/>
            <w:vAlign w:val="center"/>
          </w:tcPr>
          <w:p>
            <w:pPr>
              <w:pStyle w:val="Normal"/>
              <w:spacing w:lineRule="auto" w:line="240" w:before="0" w:after="0"/>
              <w:rPr>
                <w:b/>
                <w:b/>
                <w:bCs/>
                <w:sz w:val="18"/>
                <w:szCs w:val="18"/>
                <w:lang w:eastAsia="ru-RU"/>
              </w:rPr>
            </w:pPr>
            <w:r>
              <w:rPr>
                <w:b/>
                <w:bCs/>
                <w:sz w:val="18"/>
                <w:szCs w:val="18"/>
                <w:lang w:eastAsia="ru-RU"/>
              </w:rPr>
              <w:t>Остаток средств на расчетном счете на 01.01.2015:</w:t>
            </w:r>
          </w:p>
        </w:tc>
        <w:tc>
          <w:tcPr>
            <w:tcW w:w="1585" w:type="dxa"/>
            <w:tcBorders/>
            <w:shd w:fill="auto" w:val="clear"/>
            <w:vAlign w:val="center"/>
          </w:tcPr>
          <w:p>
            <w:pPr>
              <w:pStyle w:val="Normal"/>
              <w:spacing w:lineRule="auto" w:line="240" w:before="0" w:after="0"/>
              <w:jc w:val="center"/>
              <w:rPr>
                <w:b/>
                <w:b/>
                <w:bCs/>
                <w:sz w:val="18"/>
                <w:szCs w:val="18"/>
                <w:lang w:eastAsia="ru-RU"/>
              </w:rPr>
            </w:pPr>
            <w:r>
              <w:rPr>
                <w:b/>
                <w:bCs/>
                <w:sz w:val="18"/>
                <w:szCs w:val="18"/>
                <w:lang w:eastAsia="ru-RU"/>
              </w:rPr>
            </w:r>
          </w:p>
        </w:tc>
        <w:tc>
          <w:tcPr>
            <w:tcW w:w="1664" w:type="dxa"/>
            <w:gridSpan w:val="2"/>
            <w:tcBorders/>
            <w:shd w:fill="auto" w:val="clear"/>
            <w:vAlign w:val="center"/>
          </w:tcPr>
          <w:p>
            <w:pPr>
              <w:pStyle w:val="Normal"/>
              <w:spacing w:lineRule="auto" w:line="240" w:before="0" w:after="0"/>
              <w:jc w:val="right"/>
              <w:rPr>
                <w:b/>
                <w:b/>
                <w:bCs/>
                <w:sz w:val="20"/>
                <w:szCs w:val="20"/>
                <w:lang w:eastAsia="ru-RU"/>
              </w:rPr>
            </w:pPr>
            <w:r>
              <w:rPr>
                <w:b/>
                <w:bCs/>
                <w:sz w:val="20"/>
                <w:szCs w:val="20"/>
                <w:lang w:eastAsia="ru-RU"/>
              </w:rPr>
              <w:t>3,997,311.77</w:t>
            </w:r>
          </w:p>
        </w:tc>
      </w:tr>
      <w:tr>
        <w:trPr>
          <w:trHeight w:val="300" w:hRule="atLeast"/>
        </w:trPr>
        <w:tc>
          <w:tcPr>
            <w:tcW w:w="6228" w:type="dxa"/>
            <w:gridSpan w:val="2"/>
            <w:tcBorders/>
            <w:shd w:fill="auto" w:val="clear"/>
            <w:vAlign w:val="center"/>
          </w:tcPr>
          <w:p>
            <w:pPr>
              <w:pStyle w:val="Normal"/>
              <w:spacing w:lineRule="auto" w:line="240" w:before="0" w:after="0"/>
              <w:rPr>
                <w:b/>
                <w:b/>
                <w:bCs/>
                <w:sz w:val="18"/>
                <w:szCs w:val="18"/>
                <w:lang w:eastAsia="ru-RU"/>
              </w:rPr>
            </w:pPr>
            <w:r>
              <w:rPr>
                <w:b/>
                <w:bCs/>
                <w:sz w:val="18"/>
                <w:szCs w:val="18"/>
                <w:lang w:eastAsia="ru-RU"/>
              </w:rPr>
              <w:t>Долг по авансовым отчетам</w:t>
            </w:r>
          </w:p>
        </w:tc>
        <w:tc>
          <w:tcPr>
            <w:tcW w:w="1585" w:type="dxa"/>
            <w:tcBorders/>
            <w:shd w:fill="auto" w:val="clear"/>
            <w:vAlign w:val="center"/>
          </w:tcPr>
          <w:p>
            <w:pPr>
              <w:pStyle w:val="Normal"/>
              <w:spacing w:lineRule="auto" w:line="240" w:before="0" w:after="0"/>
              <w:jc w:val="center"/>
              <w:rPr>
                <w:b/>
                <w:b/>
                <w:bCs/>
                <w:sz w:val="18"/>
                <w:szCs w:val="18"/>
                <w:lang w:eastAsia="ru-RU"/>
              </w:rPr>
            </w:pPr>
            <w:r>
              <w:rPr>
                <w:b/>
                <w:bCs/>
                <w:sz w:val="18"/>
                <w:szCs w:val="18"/>
                <w:lang w:eastAsia="ru-RU"/>
              </w:rPr>
            </w:r>
          </w:p>
        </w:tc>
        <w:tc>
          <w:tcPr>
            <w:tcW w:w="1664" w:type="dxa"/>
            <w:gridSpan w:val="2"/>
            <w:tcBorders/>
            <w:shd w:fill="auto" w:val="clear"/>
            <w:vAlign w:val="center"/>
          </w:tcPr>
          <w:p>
            <w:pPr>
              <w:pStyle w:val="Normal"/>
              <w:spacing w:lineRule="auto" w:line="240" w:before="0" w:after="0"/>
              <w:jc w:val="right"/>
              <w:rPr>
                <w:b/>
                <w:b/>
                <w:bCs/>
                <w:sz w:val="20"/>
                <w:szCs w:val="20"/>
                <w:lang w:eastAsia="ru-RU"/>
              </w:rPr>
            </w:pPr>
            <w:r>
              <w:rPr>
                <w:b/>
                <w:bCs/>
                <w:sz w:val="20"/>
                <w:szCs w:val="20"/>
                <w:lang w:eastAsia="ru-RU"/>
              </w:rPr>
              <w:t>-91,965.31</w:t>
            </w:r>
          </w:p>
        </w:tc>
      </w:tr>
      <w:tr>
        <w:trPr>
          <w:trHeight w:val="300" w:hRule="atLeast"/>
        </w:trPr>
        <w:tc>
          <w:tcPr>
            <w:tcW w:w="1319" w:type="dxa"/>
            <w:tcBorders/>
            <w:shd w:fill="auto" w:val="clear"/>
            <w:vAlign w:val="center"/>
          </w:tcPr>
          <w:p>
            <w:pPr>
              <w:pStyle w:val="Normal"/>
              <w:spacing w:lineRule="auto" w:line="240" w:before="0" w:after="0"/>
              <w:rPr>
                <w:b/>
                <w:b/>
                <w:bCs/>
                <w:sz w:val="18"/>
                <w:szCs w:val="18"/>
                <w:lang w:eastAsia="ru-RU"/>
              </w:rPr>
            </w:pPr>
            <w:r>
              <w:rPr>
                <w:b/>
                <w:bCs/>
                <w:sz w:val="18"/>
                <w:szCs w:val="18"/>
                <w:lang w:eastAsia="ru-RU"/>
              </w:rPr>
            </w:r>
          </w:p>
        </w:tc>
        <w:tc>
          <w:tcPr>
            <w:tcW w:w="4909" w:type="dxa"/>
            <w:tcBorders/>
            <w:shd w:fill="auto" w:val="clear"/>
            <w:vAlign w:val="center"/>
          </w:tcPr>
          <w:p>
            <w:pPr>
              <w:pStyle w:val="Normal"/>
              <w:spacing w:lineRule="auto" w:line="240" w:before="0" w:after="0"/>
              <w:rPr>
                <w:b/>
                <w:b/>
                <w:bCs/>
                <w:sz w:val="18"/>
                <w:szCs w:val="18"/>
                <w:lang w:eastAsia="ru-RU"/>
              </w:rPr>
            </w:pPr>
            <w:r>
              <w:rPr>
                <w:b/>
                <w:bCs/>
                <w:sz w:val="18"/>
                <w:szCs w:val="18"/>
                <w:lang w:eastAsia="ru-RU"/>
              </w:rPr>
            </w:r>
          </w:p>
        </w:tc>
        <w:tc>
          <w:tcPr>
            <w:tcW w:w="1585" w:type="dxa"/>
            <w:tcBorders/>
            <w:shd w:fill="auto" w:val="clear"/>
            <w:vAlign w:val="center"/>
          </w:tcPr>
          <w:p>
            <w:pPr>
              <w:pStyle w:val="Normal"/>
              <w:spacing w:lineRule="auto" w:line="240" w:before="0" w:after="0"/>
              <w:jc w:val="center"/>
              <w:rPr>
                <w:b/>
                <w:b/>
                <w:bCs/>
                <w:sz w:val="18"/>
                <w:szCs w:val="18"/>
                <w:lang w:eastAsia="ru-RU"/>
              </w:rPr>
            </w:pPr>
            <w:r>
              <w:rPr>
                <w:b/>
                <w:bCs/>
                <w:sz w:val="18"/>
                <w:szCs w:val="18"/>
                <w:lang w:eastAsia="ru-RU"/>
              </w:rPr>
            </w:r>
          </w:p>
        </w:tc>
        <w:tc>
          <w:tcPr>
            <w:tcW w:w="1664" w:type="dxa"/>
            <w:gridSpan w:val="2"/>
            <w:tcBorders/>
            <w:shd w:fill="auto" w:val="clear"/>
            <w:vAlign w:val="center"/>
          </w:tcPr>
          <w:p>
            <w:pPr>
              <w:pStyle w:val="Normal"/>
              <w:spacing w:lineRule="auto" w:line="240" w:before="0" w:after="0"/>
              <w:jc w:val="right"/>
              <w:rPr>
                <w:b/>
                <w:b/>
                <w:bCs/>
                <w:sz w:val="20"/>
                <w:szCs w:val="20"/>
                <w:lang w:eastAsia="ru-RU"/>
              </w:rPr>
            </w:pPr>
            <w:r>
              <w:rPr>
                <w:b/>
                <w:bCs/>
                <w:sz w:val="20"/>
                <w:szCs w:val="20"/>
                <w:lang w:eastAsia="ru-RU"/>
              </w:rPr>
            </w:r>
          </w:p>
        </w:tc>
      </w:tr>
      <w:tr>
        <w:trPr>
          <w:trHeight w:val="300" w:hRule="atLeast"/>
        </w:trPr>
        <w:tc>
          <w:tcPr>
            <w:tcW w:w="6228" w:type="dxa"/>
            <w:gridSpan w:val="2"/>
            <w:tcBorders/>
            <w:shd w:color="000000" w:fill="D9D9D9" w:val="clear"/>
            <w:vAlign w:val="center"/>
          </w:tcPr>
          <w:p>
            <w:pPr>
              <w:pStyle w:val="Normal"/>
              <w:spacing w:lineRule="auto" w:line="240" w:before="0" w:after="0"/>
              <w:rPr>
                <w:b/>
                <w:b/>
                <w:bCs/>
                <w:i/>
                <w:i/>
                <w:iCs/>
                <w:lang w:eastAsia="ru-RU"/>
              </w:rPr>
            </w:pPr>
            <w:r>
              <w:rPr>
                <w:b/>
                <w:bCs/>
                <w:i/>
                <w:iCs/>
                <w:lang w:eastAsia="ru-RU"/>
              </w:rPr>
              <w:t>Поступило средств</w:t>
            </w:r>
          </w:p>
        </w:tc>
        <w:tc>
          <w:tcPr>
            <w:tcW w:w="1585" w:type="dxa"/>
            <w:tcBorders/>
            <w:shd w:color="000000" w:fill="D9D9D9" w:val="clear"/>
            <w:vAlign w:val="bottom"/>
          </w:tcPr>
          <w:p>
            <w:pPr>
              <w:pStyle w:val="Normal"/>
              <w:spacing w:lineRule="auto" w:line="240" w:before="0" w:after="0"/>
              <w:rPr>
                <w:sz w:val="18"/>
                <w:szCs w:val="18"/>
                <w:lang w:eastAsia="ru-RU"/>
              </w:rPr>
            </w:pPr>
            <w:r>
              <w:rPr>
                <w:sz w:val="18"/>
                <w:szCs w:val="18"/>
                <w:lang w:eastAsia="ru-RU"/>
              </w:rPr>
              <w:t> </w:t>
            </w:r>
          </w:p>
        </w:tc>
        <w:tc>
          <w:tcPr>
            <w:tcW w:w="1664" w:type="dxa"/>
            <w:gridSpan w:val="2"/>
            <w:tcBorders/>
            <w:shd w:color="000000" w:fill="D9D9D9" w:val="clear"/>
            <w:vAlign w:val="center"/>
          </w:tcPr>
          <w:p>
            <w:pPr>
              <w:pStyle w:val="Normal"/>
              <w:spacing w:lineRule="auto" w:line="240" w:before="0" w:after="0"/>
              <w:jc w:val="right"/>
              <w:rPr>
                <w:sz w:val="18"/>
                <w:szCs w:val="18"/>
                <w:lang w:eastAsia="ru-RU"/>
              </w:rPr>
            </w:pPr>
            <w:r>
              <w:rPr>
                <w:sz w:val="18"/>
                <w:szCs w:val="18"/>
                <w:lang w:eastAsia="ru-RU"/>
              </w:rPr>
              <w:t> </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Вступительные взносы, с учетом возвратов</w:t>
            </w:r>
          </w:p>
        </w:tc>
        <w:tc>
          <w:tcPr>
            <w:tcW w:w="1585" w:type="dxa"/>
            <w:tcBorders/>
            <w:shd w:fill="auto" w:val="clear"/>
            <w:vAlign w:val="bottom"/>
          </w:tcPr>
          <w:p>
            <w:pPr>
              <w:pStyle w:val="Normal"/>
              <w:spacing w:lineRule="auto" w:line="240" w:before="0" w:after="0"/>
              <w:jc w:val="right"/>
              <w:rPr>
                <w:color w:val="000000"/>
                <w:sz w:val="20"/>
                <w:szCs w:val="20"/>
                <w:lang w:eastAsia="ru-RU"/>
              </w:rPr>
            </w:pPr>
            <w:r>
              <w:rPr>
                <w:color w:val="000000"/>
                <w:sz w:val="20"/>
                <w:szCs w:val="20"/>
                <w:lang w:eastAsia="ru-RU"/>
              </w:rPr>
              <w:t>55,000,000.00</w:t>
            </w:r>
          </w:p>
        </w:tc>
        <w:tc>
          <w:tcPr>
            <w:tcW w:w="1664" w:type="dxa"/>
            <w:gridSpan w:val="2"/>
            <w:tcBorders/>
            <w:shd w:fill="auto" w:val="clear"/>
            <w:vAlign w:val="center"/>
          </w:tcPr>
          <w:p>
            <w:pPr>
              <w:pStyle w:val="Normal"/>
              <w:spacing w:lineRule="auto" w:line="240" w:before="0" w:after="0"/>
              <w:jc w:val="right"/>
              <w:rPr>
                <w:sz w:val="20"/>
                <w:szCs w:val="20"/>
                <w:lang w:eastAsia="ru-RU"/>
              </w:rPr>
            </w:pPr>
            <w:r>
              <w:rPr>
                <w:sz w:val="20"/>
                <w:szCs w:val="20"/>
                <w:lang w:eastAsia="ru-RU"/>
              </w:rPr>
              <w:t>58,226,082.19</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Членские взносы</w:t>
            </w:r>
          </w:p>
        </w:tc>
        <w:tc>
          <w:tcPr>
            <w:tcW w:w="1585" w:type="dxa"/>
            <w:tcBorders/>
            <w:shd w:fill="auto" w:val="clear"/>
            <w:vAlign w:val="bottom"/>
          </w:tcPr>
          <w:p>
            <w:pPr>
              <w:pStyle w:val="Normal"/>
              <w:spacing w:lineRule="auto" w:line="240" w:before="0" w:after="0"/>
              <w:jc w:val="right"/>
              <w:rPr>
                <w:color w:val="000000"/>
                <w:sz w:val="20"/>
                <w:szCs w:val="20"/>
                <w:lang w:eastAsia="ru-RU"/>
              </w:rPr>
            </w:pPr>
            <w:r>
              <w:rPr>
                <w:color w:val="000000"/>
                <w:sz w:val="20"/>
                <w:szCs w:val="20"/>
                <w:lang w:eastAsia="ru-RU"/>
              </w:rPr>
              <w:t>18,500,000.00</w:t>
            </w:r>
          </w:p>
        </w:tc>
        <w:tc>
          <w:tcPr>
            <w:tcW w:w="1664" w:type="dxa"/>
            <w:gridSpan w:val="2"/>
            <w:tcBorders/>
            <w:shd w:fill="auto" w:val="clear"/>
            <w:vAlign w:val="center"/>
          </w:tcPr>
          <w:p>
            <w:pPr>
              <w:pStyle w:val="Normal"/>
              <w:spacing w:lineRule="auto" w:line="240" w:before="0" w:after="0"/>
              <w:jc w:val="right"/>
              <w:rPr>
                <w:sz w:val="20"/>
                <w:szCs w:val="20"/>
                <w:lang w:eastAsia="ru-RU"/>
              </w:rPr>
            </w:pPr>
            <w:r>
              <w:rPr>
                <w:sz w:val="20"/>
                <w:szCs w:val="20"/>
                <w:lang w:eastAsia="ru-RU"/>
              </w:rPr>
              <w:t>14,522,724.23</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Авансы по договорам подряда</w:t>
            </w:r>
          </w:p>
        </w:tc>
        <w:tc>
          <w:tcPr>
            <w:tcW w:w="1585" w:type="dxa"/>
            <w:tcBorders/>
            <w:shd w:fill="auto" w:val="clear"/>
            <w:vAlign w:val="center"/>
          </w:tcPr>
          <w:p>
            <w:pPr>
              <w:pStyle w:val="Normal"/>
              <w:spacing w:lineRule="auto" w:line="240" w:before="0" w:after="0"/>
              <w:jc w:val="center"/>
              <w:rPr>
                <w:sz w:val="20"/>
                <w:szCs w:val="20"/>
                <w:lang w:eastAsia="ru-RU"/>
              </w:rPr>
            </w:pPr>
            <w:r>
              <w:rPr>
                <w:sz w:val="20"/>
                <w:szCs w:val="20"/>
                <w:lang w:eastAsia="ru-RU"/>
              </w:rPr>
            </w:r>
          </w:p>
        </w:tc>
        <w:tc>
          <w:tcPr>
            <w:tcW w:w="1664" w:type="dxa"/>
            <w:gridSpan w:val="2"/>
            <w:tcBorders/>
            <w:shd w:fill="auto" w:val="clear"/>
            <w:vAlign w:val="center"/>
          </w:tcPr>
          <w:p>
            <w:pPr>
              <w:pStyle w:val="Normal"/>
              <w:spacing w:lineRule="auto" w:line="240" w:before="0" w:after="0"/>
              <w:jc w:val="right"/>
              <w:rPr>
                <w:sz w:val="20"/>
                <w:szCs w:val="20"/>
                <w:lang w:eastAsia="ru-RU"/>
              </w:rPr>
            </w:pPr>
            <w:r>
              <w:rPr>
                <w:sz w:val="20"/>
                <w:szCs w:val="20"/>
                <w:lang w:eastAsia="ru-RU"/>
              </w:rPr>
              <w:t>9,073,568.15</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Целевые взносы</w:t>
            </w:r>
          </w:p>
        </w:tc>
        <w:tc>
          <w:tcPr>
            <w:tcW w:w="1585" w:type="dxa"/>
            <w:tcBorders/>
            <w:shd w:fill="auto" w:val="clear"/>
            <w:vAlign w:val="center"/>
          </w:tcPr>
          <w:p>
            <w:pPr>
              <w:pStyle w:val="Normal"/>
              <w:spacing w:lineRule="auto" w:line="240" w:before="0" w:after="0"/>
              <w:jc w:val="center"/>
              <w:rPr>
                <w:sz w:val="20"/>
                <w:szCs w:val="20"/>
                <w:lang w:eastAsia="ru-RU"/>
              </w:rPr>
            </w:pPr>
            <w:r>
              <w:rPr>
                <w:sz w:val="20"/>
                <w:szCs w:val="20"/>
                <w:lang w:eastAsia="ru-RU"/>
              </w:rPr>
            </w:r>
          </w:p>
        </w:tc>
        <w:tc>
          <w:tcPr>
            <w:tcW w:w="1664" w:type="dxa"/>
            <w:gridSpan w:val="2"/>
            <w:tcBorders/>
            <w:shd w:fill="auto" w:val="clear"/>
            <w:vAlign w:val="center"/>
          </w:tcPr>
          <w:p>
            <w:pPr>
              <w:pStyle w:val="Normal"/>
              <w:spacing w:lineRule="auto" w:line="240" w:before="0" w:after="0"/>
              <w:jc w:val="right"/>
              <w:rPr>
                <w:sz w:val="20"/>
                <w:szCs w:val="20"/>
                <w:lang w:eastAsia="ru-RU"/>
              </w:rPr>
            </w:pPr>
            <w:r>
              <w:rPr>
                <w:sz w:val="20"/>
                <w:szCs w:val="20"/>
                <w:lang w:eastAsia="ru-RU"/>
              </w:rPr>
            </w:r>
          </w:p>
        </w:tc>
      </w:tr>
      <w:tr>
        <w:trPr>
          <w:trHeight w:val="300" w:hRule="atLeast"/>
        </w:trPr>
        <w:tc>
          <w:tcPr>
            <w:tcW w:w="1319"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на компенсацию аренды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3,200,000.00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3,786,579.34</w:t>
            </w:r>
          </w:p>
        </w:tc>
      </w:tr>
      <w:tr>
        <w:trPr>
          <w:trHeight w:val="300" w:hRule="atLeast"/>
        </w:trPr>
        <w:tc>
          <w:tcPr>
            <w:tcW w:w="1319"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на инфраструктуру</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45,000,000.00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43,101,419.10</w:t>
            </w:r>
          </w:p>
        </w:tc>
      </w:tr>
      <w:tr>
        <w:trPr>
          <w:trHeight w:val="300" w:hRule="atLeast"/>
        </w:trPr>
        <w:tc>
          <w:tcPr>
            <w:tcW w:w="1319"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 xml:space="preserve">на газ </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10,000,000.00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10,143,643.40</w:t>
            </w:r>
          </w:p>
        </w:tc>
      </w:tr>
      <w:tr>
        <w:trPr>
          <w:trHeight w:val="300" w:hRule="atLeast"/>
        </w:trPr>
        <w:tc>
          <w:tcPr>
            <w:tcW w:w="1319"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на электричество (возмещ. Затрат)</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2,000,000.00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1,253,184.99</w:t>
            </w:r>
          </w:p>
        </w:tc>
      </w:tr>
      <w:tr>
        <w:trPr>
          <w:trHeight w:val="300" w:hRule="atLeast"/>
        </w:trPr>
        <w:tc>
          <w:tcPr>
            <w:tcW w:w="1319"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на электричество  доп.взносы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10,000,000.00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12,463,006.08</w:t>
            </w:r>
          </w:p>
        </w:tc>
      </w:tr>
      <w:tr>
        <w:trPr>
          <w:trHeight w:val="300" w:hRule="atLeast"/>
        </w:trPr>
        <w:tc>
          <w:tcPr>
            <w:tcW w:w="1319"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на топо-кадастровые работы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5,000,000.00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5,547,820.20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Добровольные взносы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280,000.00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Возврат займа</w:t>
            </w:r>
          </w:p>
        </w:tc>
        <w:tc>
          <w:tcPr>
            <w:tcW w:w="1585" w:type="dxa"/>
            <w:tcBorders/>
            <w:shd w:fill="auto" w:val="clear"/>
            <w:vAlign w:val="center"/>
          </w:tcPr>
          <w:p>
            <w:pPr>
              <w:pStyle w:val="Normal"/>
              <w:spacing w:lineRule="auto" w:line="240" w:before="0" w:after="0"/>
              <w:jc w:val="center"/>
              <w:rPr>
                <w:sz w:val="20"/>
                <w:szCs w:val="20"/>
                <w:lang w:eastAsia="ru-RU"/>
              </w:rPr>
            </w:pPr>
            <w:r>
              <w:rPr>
                <w:sz w:val="20"/>
                <w:szCs w:val="20"/>
                <w:lang w:eastAsia="ru-RU"/>
              </w:rPr>
            </w:r>
          </w:p>
        </w:tc>
        <w:tc>
          <w:tcPr>
            <w:tcW w:w="1664" w:type="dxa"/>
            <w:gridSpan w:val="2"/>
            <w:tcBorders/>
            <w:shd w:fill="auto" w:val="clear"/>
            <w:vAlign w:val="center"/>
          </w:tcPr>
          <w:p>
            <w:pPr>
              <w:pStyle w:val="Normal"/>
              <w:spacing w:lineRule="auto" w:line="240" w:before="0" w:after="0"/>
              <w:jc w:val="right"/>
              <w:rPr>
                <w:sz w:val="20"/>
                <w:szCs w:val="20"/>
                <w:lang w:eastAsia="ru-RU"/>
              </w:rPr>
            </w:pPr>
            <w:r>
              <w:rPr>
                <w:sz w:val="20"/>
                <w:szCs w:val="20"/>
                <w:lang w:eastAsia="ru-RU"/>
              </w:rPr>
              <w:t>25,000.00</w:t>
            </w:r>
          </w:p>
        </w:tc>
      </w:tr>
      <w:tr>
        <w:trPr>
          <w:trHeight w:val="300" w:hRule="atLeast"/>
        </w:trPr>
        <w:tc>
          <w:tcPr>
            <w:tcW w:w="6228" w:type="dxa"/>
            <w:gridSpan w:val="2"/>
            <w:tcBorders/>
            <w:shd w:fill="auto" w:val="clear"/>
            <w:vAlign w:val="bottom"/>
          </w:tcPr>
          <w:p>
            <w:pPr>
              <w:pStyle w:val="Normal"/>
              <w:spacing w:lineRule="auto" w:line="240" w:before="0" w:after="0"/>
              <w:rPr>
                <w:b/>
                <w:b/>
                <w:bCs/>
                <w:color w:val="000000"/>
                <w:lang w:eastAsia="ru-RU"/>
              </w:rPr>
            </w:pPr>
            <w:r>
              <w:rPr>
                <w:b/>
                <w:bCs/>
                <w:color w:val="000000"/>
                <w:lang w:eastAsia="ru-RU"/>
              </w:rPr>
              <w:t>Итого поступления</w:t>
            </w:r>
          </w:p>
        </w:tc>
        <w:tc>
          <w:tcPr>
            <w:tcW w:w="1585" w:type="dxa"/>
            <w:tcBorders/>
            <w:shd w:fill="auto" w:val="clear"/>
            <w:vAlign w:val="bottom"/>
          </w:tcPr>
          <w:p>
            <w:pPr>
              <w:pStyle w:val="Normal"/>
              <w:spacing w:lineRule="auto" w:line="240" w:before="0" w:after="0"/>
              <w:jc w:val="right"/>
              <w:rPr>
                <w:b/>
                <w:b/>
                <w:bCs/>
                <w:color w:val="000000"/>
                <w:sz w:val="20"/>
                <w:szCs w:val="20"/>
                <w:lang w:eastAsia="ru-RU"/>
              </w:rPr>
            </w:pPr>
            <w:r>
              <w:rPr>
                <w:b/>
                <w:bCs/>
                <w:color w:val="000000"/>
                <w:sz w:val="20"/>
                <w:szCs w:val="20"/>
                <w:lang w:eastAsia="ru-RU"/>
              </w:rPr>
              <w:t>148,700,000.00</w:t>
            </w:r>
          </w:p>
        </w:tc>
        <w:tc>
          <w:tcPr>
            <w:tcW w:w="1664" w:type="dxa"/>
            <w:gridSpan w:val="2"/>
            <w:tcBorders/>
            <w:shd w:fill="auto" w:val="clear"/>
            <w:vAlign w:val="bottom"/>
          </w:tcPr>
          <w:p>
            <w:pPr>
              <w:pStyle w:val="Normal"/>
              <w:spacing w:lineRule="auto" w:line="240" w:before="0" w:after="0"/>
              <w:jc w:val="right"/>
              <w:rPr>
                <w:b/>
                <w:b/>
                <w:bCs/>
                <w:color w:val="000000"/>
                <w:sz w:val="20"/>
                <w:szCs w:val="20"/>
                <w:lang w:eastAsia="ru-RU"/>
              </w:rPr>
            </w:pPr>
            <w:r>
              <w:rPr>
                <w:b/>
                <w:bCs/>
                <w:color w:val="000000"/>
                <w:sz w:val="20"/>
                <w:szCs w:val="20"/>
                <w:lang w:eastAsia="ru-RU"/>
              </w:rPr>
              <w:t>158,423,027.68</w:t>
            </w:r>
          </w:p>
        </w:tc>
      </w:tr>
      <w:tr>
        <w:trPr>
          <w:trHeight w:val="300" w:hRule="atLeast"/>
        </w:trPr>
        <w:tc>
          <w:tcPr>
            <w:tcW w:w="1319" w:type="dxa"/>
            <w:tcBorders/>
            <w:shd w:fill="auto" w:val="clear"/>
            <w:vAlign w:val="bottom"/>
          </w:tcPr>
          <w:p>
            <w:pPr>
              <w:pStyle w:val="Normal"/>
              <w:spacing w:lineRule="auto" w:line="240" w:before="0" w:after="0"/>
              <w:rPr>
                <w:color w:val="000000"/>
                <w:lang w:eastAsia="ru-RU"/>
              </w:rPr>
            </w:pPr>
            <w:r>
              <w:rPr>
                <w:color w:val="000000"/>
                <w:lang w:eastAsia="ru-RU"/>
              </w:rPr>
            </w:r>
          </w:p>
        </w:tc>
        <w:tc>
          <w:tcPr>
            <w:tcW w:w="4909" w:type="dxa"/>
            <w:tcBorders/>
            <w:shd w:fill="auto" w:val="clear"/>
            <w:vAlign w:val="bottom"/>
          </w:tcPr>
          <w:p>
            <w:pPr>
              <w:pStyle w:val="Normal"/>
              <w:spacing w:lineRule="auto" w:line="240" w:before="0" w:after="0"/>
              <w:rPr>
                <w:color w:val="000000"/>
                <w:lang w:eastAsia="ru-RU"/>
              </w:rPr>
            </w:pPr>
            <w:r>
              <w:rPr>
                <w:color w:val="000000"/>
                <w:lang w:eastAsia="ru-RU"/>
              </w:rPr>
            </w:r>
          </w:p>
        </w:tc>
        <w:tc>
          <w:tcPr>
            <w:tcW w:w="1585" w:type="dxa"/>
            <w:tcBorders/>
            <w:shd w:fill="auto" w:val="clear"/>
            <w:vAlign w:val="bottom"/>
          </w:tcPr>
          <w:p>
            <w:pPr>
              <w:pStyle w:val="Normal"/>
              <w:spacing w:lineRule="auto" w:line="240" w:before="0" w:after="0"/>
              <w:rPr>
                <w:color w:val="000000"/>
                <w:lang w:eastAsia="ru-RU"/>
              </w:rPr>
            </w:pPr>
            <w:r>
              <w:rPr>
                <w:color w:val="000000"/>
                <w:lang w:eastAsia="ru-RU"/>
              </w:rPr>
            </w:r>
          </w:p>
        </w:tc>
        <w:tc>
          <w:tcPr>
            <w:tcW w:w="1664" w:type="dxa"/>
            <w:gridSpan w:val="2"/>
            <w:tcBorders/>
            <w:shd w:fill="auto" w:val="clear"/>
            <w:vAlign w:val="bottom"/>
          </w:tcPr>
          <w:p>
            <w:pPr>
              <w:pStyle w:val="Normal"/>
              <w:spacing w:lineRule="auto" w:line="240" w:before="0" w:after="0"/>
              <w:jc w:val="right"/>
              <w:rPr>
                <w:color w:val="000000"/>
                <w:lang w:eastAsia="ru-RU"/>
              </w:rPr>
            </w:pPr>
            <w:r>
              <w:rPr>
                <w:color w:val="000000"/>
                <w:lang w:eastAsia="ru-RU"/>
              </w:rPr>
            </w:r>
          </w:p>
        </w:tc>
      </w:tr>
      <w:tr>
        <w:trPr>
          <w:trHeight w:val="300" w:hRule="atLeast"/>
        </w:trPr>
        <w:tc>
          <w:tcPr>
            <w:tcW w:w="6228" w:type="dxa"/>
            <w:gridSpan w:val="2"/>
            <w:tcBorders/>
            <w:shd w:color="000000" w:fill="D9D9D9" w:val="clear"/>
            <w:vAlign w:val="center"/>
          </w:tcPr>
          <w:p>
            <w:pPr>
              <w:pStyle w:val="Normal"/>
              <w:spacing w:lineRule="auto" w:line="240" w:before="0" w:after="0"/>
              <w:rPr>
                <w:b/>
                <w:b/>
                <w:bCs/>
                <w:i/>
                <w:i/>
                <w:iCs/>
                <w:lang w:eastAsia="ru-RU"/>
              </w:rPr>
            </w:pPr>
            <w:r>
              <w:rPr>
                <w:b/>
                <w:bCs/>
                <w:i/>
                <w:iCs/>
                <w:lang w:eastAsia="ru-RU"/>
              </w:rPr>
              <w:t>Использование - членские взносы</w:t>
            </w:r>
          </w:p>
        </w:tc>
        <w:tc>
          <w:tcPr>
            <w:tcW w:w="1585" w:type="dxa"/>
            <w:tcBorders/>
            <w:shd w:color="000000" w:fill="D9D9D9" w:val="clear"/>
            <w:vAlign w:val="bottom"/>
          </w:tcPr>
          <w:p>
            <w:pPr>
              <w:pStyle w:val="Normal"/>
              <w:spacing w:lineRule="auto" w:line="240" w:before="0" w:after="0"/>
              <w:rPr>
                <w:sz w:val="18"/>
                <w:szCs w:val="18"/>
                <w:lang w:eastAsia="ru-RU"/>
              </w:rPr>
            </w:pPr>
            <w:r>
              <w:rPr>
                <w:sz w:val="18"/>
                <w:szCs w:val="18"/>
                <w:lang w:eastAsia="ru-RU"/>
              </w:rPr>
              <w:t> </w:t>
            </w:r>
          </w:p>
        </w:tc>
        <w:tc>
          <w:tcPr>
            <w:tcW w:w="1664" w:type="dxa"/>
            <w:gridSpan w:val="2"/>
            <w:tcBorders/>
            <w:shd w:color="000000" w:fill="D9D9D9" w:val="clear"/>
            <w:vAlign w:val="center"/>
          </w:tcPr>
          <w:p>
            <w:pPr>
              <w:pStyle w:val="Normal"/>
              <w:spacing w:lineRule="auto" w:line="240" w:before="0" w:after="0"/>
              <w:jc w:val="right"/>
              <w:rPr>
                <w:sz w:val="18"/>
                <w:szCs w:val="18"/>
                <w:lang w:eastAsia="ru-RU"/>
              </w:rPr>
            </w:pPr>
            <w:r>
              <w:rPr>
                <w:sz w:val="18"/>
                <w:szCs w:val="18"/>
                <w:lang w:eastAsia="ru-RU"/>
              </w:rPr>
              <w:t> </w:t>
            </w:r>
          </w:p>
        </w:tc>
      </w:tr>
      <w:tr>
        <w:trPr>
          <w:trHeight w:val="300" w:hRule="atLeast"/>
        </w:trPr>
        <w:tc>
          <w:tcPr>
            <w:tcW w:w="6228" w:type="dxa"/>
            <w:gridSpan w:val="2"/>
            <w:tcBorders/>
            <w:shd w:fill="auto" w:val="clear"/>
            <w:vAlign w:val="bottom"/>
          </w:tcPr>
          <w:p>
            <w:pPr>
              <w:pStyle w:val="Normal"/>
              <w:spacing w:lineRule="auto" w:line="240" w:before="0" w:after="0"/>
              <w:rPr>
                <w:sz w:val="18"/>
                <w:szCs w:val="18"/>
                <w:lang w:eastAsia="ru-RU"/>
              </w:rPr>
            </w:pPr>
            <w:r>
              <w:rPr>
                <w:sz w:val="18"/>
                <w:szCs w:val="18"/>
                <w:lang w:eastAsia="ru-RU"/>
              </w:rPr>
              <w:t>Расходы на оплату труда, вкл.обязательные отчисления</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6,684,000.00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6,137,369.09</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Расходы на охрану, пропускную систему</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2,520,000.00</w:t>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2,641,125.80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Расходы на ремонт подъездной дороги</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900,000.00</w:t>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1,430,000.00</w:t>
            </w:r>
          </w:p>
        </w:tc>
      </w:tr>
      <w:tr>
        <w:trPr>
          <w:trHeight w:val="300" w:hRule="atLeast"/>
        </w:trPr>
        <w:tc>
          <w:tcPr>
            <w:tcW w:w="6228" w:type="dxa"/>
            <w:gridSpan w:val="2"/>
            <w:tcBorders/>
            <w:shd w:fill="auto" w:val="clear"/>
            <w:vAlign w:val="bottom"/>
          </w:tcPr>
          <w:p>
            <w:pPr>
              <w:pStyle w:val="Normal"/>
              <w:spacing w:lineRule="auto" w:line="240" w:before="0" w:after="0"/>
              <w:rPr>
                <w:sz w:val="18"/>
                <w:szCs w:val="18"/>
                <w:lang w:eastAsia="ru-RU"/>
              </w:rPr>
            </w:pPr>
            <w:r>
              <w:rPr>
                <w:sz w:val="18"/>
                <w:szCs w:val="18"/>
                <w:lang w:eastAsia="ru-RU"/>
              </w:rPr>
              <w:t>Общехозяйственные расходы, в т.ч.</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1,140,000.00</w:t>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1,224,843.06</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расходы на  продукты сотрудников</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305,869.67</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обустройство здания правления и кпп</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256,870.73</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услуги банка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162,241.62</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 xml:space="preserve">хоз. товары </w:t>
            </w:r>
          </w:p>
        </w:tc>
        <w:tc>
          <w:tcPr>
            <w:tcW w:w="1585" w:type="dxa"/>
            <w:tcBorders/>
            <w:shd w:fill="auto" w:val="clear"/>
            <w:vAlign w:val="bottom"/>
          </w:tcPr>
          <w:p>
            <w:pPr>
              <w:pStyle w:val="Normal"/>
              <w:spacing w:lineRule="auto" w:line="240" w:before="0" w:after="0"/>
              <w:rPr>
                <w:color w:val="000000"/>
                <w:lang w:eastAsia="ru-RU"/>
              </w:rPr>
            </w:pPr>
            <w:r>
              <w:rPr>
                <w:color w:val="00000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156,113.69</w:t>
            </w:r>
          </w:p>
        </w:tc>
      </w:tr>
      <w:tr>
        <w:trPr>
          <w:trHeight w:val="33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административные расходы (подписка, ЭО, обслуж.комп.)</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148,607.00</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 xml:space="preserve">услуги связи (телефоны, интернет) </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58,920.00</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канцтовары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57,073.11</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страхование им-ва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36,980.00</w:t>
            </w:r>
          </w:p>
        </w:tc>
      </w:tr>
      <w:tr>
        <w:trPr>
          <w:trHeight w:val="300" w:hRule="atLeast"/>
        </w:trPr>
        <w:tc>
          <w:tcPr>
            <w:tcW w:w="131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собака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24,614.65</w:t>
            </w:r>
          </w:p>
        </w:tc>
      </w:tr>
      <w:tr>
        <w:trPr>
          <w:trHeight w:val="300" w:hRule="atLeast"/>
        </w:trPr>
        <w:tc>
          <w:tcPr>
            <w:tcW w:w="131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почтовые услуги</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17,552.59</w:t>
            </w:r>
          </w:p>
        </w:tc>
      </w:tr>
      <w:tr>
        <w:trPr>
          <w:trHeight w:val="300" w:hRule="atLeast"/>
        </w:trPr>
        <w:tc>
          <w:tcPr>
            <w:tcW w:w="6228" w:type="dxa"/>
            <w:gridSpan w:val="2"/>
            <w:tcBorders/>
            <w:shd w:fill="auto" w:val="clear"/>
            <w:vAlign w:val="bottom"/>
          </w:tcPr>
          <w:p>
            <w:pPr>
              <w:pStyle w:val="Normal"/>
              <w:spacing w:lineRule="auto" w:line="240" w:before="0" w:after="0"/>
              <w:rPr>
                <w:sz w:val="18"/>
                <w:szCs w:val="18"/>
                <w:lang w:eastAsia="ru-RU"/>
              </w:rPr>
            </w:pPr>
            <w:r>
              <w:rPr>
                <w:sz w:val="18"/>
                <w:szCs w:val="18"/>
                <w:lang w:eastAsia="ru-RU"/>
              </w:rPr>
              <w:t>Расходы на автономное электроснабжение (бензин-, дизельэлектростанция)</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720,000.00</w:t>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825,671.68</w:t>
            </w:r>
          </w:p>
        </w:tc>
      </w:tr>
      <w:tr>
        <w:trPr>
          <w:trHeight w:val="300" w:hRule="atLeast"/>
        </w:trPr>
        <w:tc>
          <w:tcPr>
            <w:tcW w:w="6228" w:type="dxa"/>
            <w:gridSpan w:val="2"/>
            <w:tcBorders/>
            <w:shd w:fill="auto" w:val="clear"/>
            <w:vAlign w:val="bottom"/>
          </w:tcPr>
          <w:p>
            <w:pPr>
              <w:pStyle w:val="Normal"/>
              <w:spacing w:lineRule="auto" w:line="240" w:before="0" w:after="0"/>
              <w:rPr>
                <w:sz w:val="18"/>
                <w:szCs w:val="18"/>
                <w:lang w:eastAsia="ru-RU"/>
              </w:rPr>
            </w:pPr>
            <w:r>
              <w:rPr>
                <w:sz w:val="18"/>
                <w:szCs w:val="18"/>
                <w:lang w:eastAsia="ru-RU"/>
              </w:rPr>
              <w:t>Расходы на уборку снега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960,000.00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560,000.00</w:t>
            </w:r>
          </w:p>
        </w:tc>
      </w:tr>
      <w:tr>
        <w:trPr>
          <w:trHeight w:val="300" w:hRule="atLeast"/>
        </w:trPr>
        <w:tc>
          <w:tcPr>
            <w:tcW w:w="6228" w:type="dxa"/>
            <w:gridSpan w:val="2"/>
            <w:tcBorders/>
            <w:shd w:fill="auto" w:val="clear"/>
            <w:vAlign w:val="bottom"/>
          </w:tcPr>
          <w:p>
            <w:pPr>
              <w:pStyle w:val="Normal"/>
              <w:spacing w:lineRule="auto" w:line="240" w:before="0" w:after="0"/>
              <w:rPr>
                <w:sz w:val="18"/>
                <w:szCs w:val="18"/>
                <w:lang w:eastAsia="ru-RU"/>
              </w:rPr>
            </w:pPr>
            <w:r>
              <w:rPr>
                <w:sz w:val="18"/>
                <w:szCs w:val="18"/>
                <w:lang w:eastAsia="ru-RU"/>
              </w:rPr>
              <w:t>Расходы на вывоз мусора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360,000.00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219,058.48</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Электричество на общие нужды (освещение, КПП, Правление)</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828,000.00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97,800.00</w:t>
            </w:r>
          </w:p>
        </w:tc>
      </w:tr>
      <w:tr>
        <w:trPr>
          <w:trHeight w:val="300" w:hRule="atLeast"/>
        </w:trPr>
        <w:tc>
          <w:tcPr>
            <w:tcW w:w="6228" w:type="dxa"/>
            <w:gridSpan w:val="2"/>
            <w:tcBorders/>
            <w:shd w:fill="auto" w:val="clear"/>
            <w:vAlign w:val="bottom"/>
          </w:tcPr>
          <w:p>
            <w:pPr>
              <w:pStyle w:val="Normal"/>
              <w:spacing w:lineRule="auto" w:line="240" w:before="0" w:after="0"/>
              <w:rPr>
                <w:sz w:val="18"/>
                <w:szCs w:val="18"/>
                <w:lang w:eastAsia="ru-RU"/>
              </w:rPr>
            </w:pPr>
            <w:r>
              <w:rPr>
                <w:sz w:val="18"/>
                <w:szCs w:val="18"/>
                <w:lang w:eastAsia="ru-RU"/>
              </w:rPr>
              <w:t>Непредвиденные расходы, в т.ч.</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600,000.00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36,030.05</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нотариальные услуги, госпошлины</w:t>
            </w:r>
          </w:p>
        </w:tc>
        <w:tc>
          <w:tcPr>
            <w:tcW w:w="1585" w:type="dxa"/>
            <w:tcBorders/>
            <w:shd w:fill="auto" w:val="clear"/>
            <w:vAlign w:val="bottom"/>
          </w:tcPr>
          <w:p>
            <w:pPr>
              <w:pStyle w:val="Normal"/>
              <w:spacing w:lineRule="auto" w:line="240" w:before="0" w:after="0"/>
              <w:rPr>
                <w:color w:val="000000"/>
                <w:lang w:eastAsia="ru-RU"/>
              </w:rPr>
            </w:pPr>
            <w:r>
              <w:rPr>
                <w:color w:val="00000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35,400.00</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пени по налогам</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20.05</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представительские расходы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610.00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Содержание электросетей и оборудования</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1,080,000.00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0.00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Представительские расходы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240,000.00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0.00</w:t>
            </w:r>
          </w:p>
        </w:tc>
      </w:tr>
      <w:tr>
        <w:trPr>
          <w:trHeight w:val="300" w:hRule="atLeast"/>
        </w:trPr>
        <w:tc>
          <w:tcPr>
            <w:tcW w:w="131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1585" w:type="dxa"/>
            <w:tcBorders/>
            <w:shd w:fill="auto" w:val="clear"/>
            <w:vAlign w:val="bottom"/>
          </w:tcPr>
          <w:p>
            <w:pPr>
              <w:pStyle w:val="Normal"/>
              <w:spacing w:lineRule="auto" w:line="240" w:before="0" w:after="0"/>
              <w:jc w:val="right"/>
              <w:rPr>
                <w:b/>
                <w:b/>
                <w:bCs/>
                <w:sz w:val="20"/>
                <w:szCs w:val="20"/>
                <w:lang w:eastAsia="ru-RU"/>
              </w:rPr>
            </w:pPr>
            <w:r>
              <w:rPr>
                <w:b/>
                <w:bCs/>
                <w:sz w:val="20"/>
                <w:szCs w:val="20"/>
                <w:lang w:eastAsia="ru-RU"/>
              </w:rPr>
              <w:t>16,032,000.00</w:t>
            </w:r>
          </w:p>
        </w:tc>
        <w:tc>
          <w:tcPr>
            <w:tcW w:w="1664" w:type="dxa"/>
            <w:gridSpan w:val="2"/>
            <w:tcBorders/>
            <w:shd w:fill="auto" w:val="clear"/>
            <w:vAlign w:val="bottom"/>
          </w:tcPr>
          <w:p>
            <w:pPr>
              <w:pStyle w:val="Normal"/>
              <w:spacing w:lineRule="auto" w:line="240" w:before="0" w:after="0"/>
              <w:jc w:val="right"/>
              <w:rPr>
                <w:b/>
                <w:b/>
                <w:bCs/>
                <w:sz w:val="20"/>
                <w:szCs w:val="20"/>
                <w:lang w:eastAsia="ru-RU"/>
              </w:rPr>
            </w:pPr>
            <w:r>
              <w:rPr>
                <w:b/>
                <w:bCs/>
                <w:sz w:val="20"/>
                <w:szCs w:val="20"/>
                <w:lang w:eastAsia="ru-RU"/>
              </w:rPr>
              <w:t>13,171,898.16</w:t>
            </w:r>
          </w:p>
        </w:tc>
      </w:tr>
      <w:tr>
        <w:trPr>
          <w:trHeight w:val="300" w:hRule="atLeast"/>
        </w:trPr>
        <w:tc>
          <w:tcPr>
            <w:tcW w:w="131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r>
      <w:tr>
        <w:trPr>
          <w:trHeight w:val="300" w:hRule="atLeast"/>
        </w:trPr>
        <w:tc>
          <w:tcPr>
            <w:tcW w:w="6228" w:type="dxa"/>
            <w:gridSpan w:val="2"/>
            <w:tcBorders/>
            <w:shd w:color="000000" w:fill="D9D9D9" w:val="clear"/>
            <w:vAlign w:val="center"/>
          </w:tcPr>
          <w:p>
            <w:pPr>
              <w:pStyle w:val="Normal"/>
              <w:spacing w:lineRule="auto" w:line="240" w:before="0" w:after="0"/>
              <w:rPr>
                <w:b/>
                <w:b/>
                <w:bCs/>
                <w:i/>
                <w:i/>
                <w:iCs/>
                <w:lang w:eastAsia="ru-RU"/>
              </w:rPr>
            </w:pPr>
            <w:r>
              <w:rPr>
                <w:b/>
                <w:bCs/>
                <w:i/>
                <w:iCs/>
                <w:lang w:eastAsia="ru-RU"/>
              </w:rPr>
              <w:t>Использование - вступительные взносы</w:t>
            </w:r>
          </w:p>
        </w:tc>
        <w:tc>
          <w:tcPr>
            <w:tcW w:w="1585" w:type="dxa"/>
            <w:tcBorders/>
            <w:shd w:color="000000" w:fill="D9D9D9" w:val="clear"/>
            <w:vAlign w:val="bottom"/>
          </w:tcPr>
          <w:p>
            <w:pPr>
              <w:pStyle w:val="Normal"/>
              <w:spacing w:lineRule="auto" w:line="240" w:before="0" w:after="0"/>
              <w:rPr>
                <w:sz w:val="18"/>
                <w:szCs w:val="18"/>
                <w:lang w:eastAsia="ru-RU"/>
              </w:rPr>
            </w:pPr>
            <w:r>
              <w:rPr>
                <w:sz w:val="18"/>
                <w:szCs w:val="18"/>
                <w:lang w:eastAsia="ru-RU"/>
              </w:rPr>
              <w:t> </w:t>
            </w:r>
          </w:p>
        </w:tc>
        <w:tc>
          <w:tcPr>
            <w:tcW w:w="1664" w:type="dxa"/>
            <w:gridSpan w:val="2"/>
            <w:tcBorders/>
            <w:shd w:color="000000" w:fill="D9D9D9" w:val="clear"/>
            <w:vAlign w:val="center"/>
          </w:tcPr>
          <w:p>
            <w:pPr>
              <w:pStyle w:val="Normal"/>
              <w:spacing w:lineRule="auto" w:line="240" w:before="0" w:after="0"/>
              <w:jc w:val="right"/>
              <w:rPr>
                <w:sz w:val="18"/>
                <w:szCs w:val="18"/>
                <w:lang w:eastAsia="ru-RU"/>
              </w:rPr>
            </w:pPr>
            <w:r>
              <w:rPr>
                <w:sz w:val="18"/>
                <w:szCs w:val="18"/>
                <w:lang w:eastAsia="ru-RU"/>
              </w:rPr>
              <w:t> </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Реклама, вкл обслуживание сайта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12,000,000.00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11,594,830.50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Маркетинговые услуги</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15,000,000.00</w:t>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19,714,100.00</w:t>
            </w:r>
          </w:p>
        </w:tc>
      </w:tr>
      <w:tr>
        <w:trPr>
          <w:trHeight w:val="300" w:hRule="atLeast"/>
        </w:trPr>
        <w:tc>
          <w:tcPr>
            <w:tcW w:w="6228" w:type="dxa"/>
            <w:gridSpan w:val="2"/>
            <w:tcBorders/>
            <w:shd w:fill="auto" w:val="clear"/>
            <w:vAlign w:val="bottom"/>
          </w:tcPr>
          <w:p>
            <w:pPr>
              <w:pStyle w:val="Normal"/>
              <w:spacing w:lineRule="auto" w:line="240" w:before="0" w:after="0"/>
              <w:rPr>
                <w:sz w:val="18"/>
                <w:szCs w:val="18"/>
                <w:lang w:eastAsia="ru-RU"/>
              </w:rPr>
            </w:pPr>
            <w:r>
              <w:rPr>
                <w:sz w:val="18"/>
                <w:szCs w:val="18"/>
                <w:lang w:eastAsia="ru-RU"/>
              </w:rPr>
              <w:t>Приобретение материалов, инвентаря, основных средств, в т.ч.</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2,000,000.00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502,093.00</w:t>
            </w:r>
          </w:p>
        </w:tc>
      </w:tr>
      <w:tr>
        <w:trPr>
          <w:trHeight w:val="300" w:hRule="atLeast"/>
        </w:trPr>
        <w:tc>
          <w:tcPr>
            <w:tcW w:w="1319" w:type="dxa"/>
            <w:tcBorders/>
            <w:shd w:fill="auto" w:val="clear"/>
            <w:vAlign w:val="bottom"/>
          </w:tcPr>
          <w:p>
            <w:pPr>
              <w:pStyle w:val="Normal"/>
              <w:spacing w:lineRule="auto" w:line="240" w:before="0" w:after="0"/>
              <w:rPr>
                <w:color w:val="000000"/>
                <w:lang w:eastAsia="ru-RU"/>
              </w:rPr>
            </w:pPr>
            <w:r>
              <w:rPr>
                <w:color w:val="000000"/>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стабилизаторы (электр), генераторы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246,248.00</w:t>
            </w:r>
          </w:p>
        </w:tc>
      </w:tr>
      <w:tr>
        <w:trPr>
          <w:trHeight w:val="300" w:hRule="atLeast"/>
        </w:trPr>
        <w:tc>
          <w:tcPr>
            <w:tcW w:w="131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оборудование</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157,005.00</w:t>
            </w:r>
          </w:p>
        </w:tc>
      </w:tr>
      <w:tr>
        <w:trPr>
          <w:trHeight w:val="300" w:hRule="atLeast"/>
        </w:trPr>
        <w:tc>
          <w:tcPr>
            <w:tcW w:w="131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дорожные знаки</w:t>
            </w:r>
          </w:p>
        </w:tc>
        <w:tc>
          <w:tcPr>
            <w:tcW w:w="1585" w:type="dxa"/>
            <w:tcBorders/>
            <w:shd w:fill="auto" w:val="clear"/>
            <w:vAlign w:val="bottom"/>
          </w:tcPr>
          <w:p>
            <w:pPr>
              <w:pStyle w:val="Normal"/>
              <w:spacing w:lineRule="auto" w:line="240" w:before="0" w:after="0"/>
              <w:rPr>
                <w:color w:val="000000"/>
                <w:lang w:eastAsia="ru-RU"/>
              </w:rPr>
            </w:pPr>
            <w:r>
              <w:rPr>
                <w:color w:val="00000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92,140.00</w:t>
            </w:r>
          </w:p>
        </w:tc>
      </w:tr>
      <w:tr>
        <w:trPr>
          <w:trHeight w:val="300" w:hRule="atLeast"/>
        </w:trPr>
        <w:tc>
          <w:tcPr>
            <w:tcW w:w="131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пожарное оборудование</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6,700.00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Ремонт дорог</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25,000,000.00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23,000,000.00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Расходы на транспорт</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0.00</w:t>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1,409,593.33</w:t>
            </w:r>
          </w:p>
        </w:tc>
      </w:tr>
      <w:tr>
        <w:trPr>
          <w:trHeight w:val="495"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Содержание автомобильного транспорта (тех.обслуживание, ремонт, страхование, налог)</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899,593.33</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Аренда транспорта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510,000.00</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1585" w:type="dxa"/>
            <w:tcBorders/>
            <w:shd w:fill="auto" w:val="clear"/>
            <w:vAlign w:val="bottom"/>
          </w:tcPr>
          <w:p>
            <w:pPr>
              <w:pStyle w:val="Normal"/>
              <w:spacing w:lineRule="auto" w:line="240" w:before="0" w:after="0"/>
              <w:jc w:val="right"/>
              <w:rPr>
                <w:b/>
                <w:b/>
                <w:bCs/>
                <w:sz w:val="20"/>
                <w:szCs w:val="20"/>
                <w:lang w:eastAsia="ru-RU"/>
              </w:rPr>
            </w:pPr>
            <w:r>
              <w:rPr>
                <w:b/>
                <w:bCs/>
                <w:sz w:val="20"/>
                <w:szCs w:val="20"/>
                <w:lang w:eastAsia="ru-RU"/>
              </w:rPr>
              <w:t>54,000,000.00</w:t>
            </w:r>
          </w:p>
        </w:tc>
        <w:tc>
          <w:tcPr>
            <w:tcW w:w="1664" w:type="dxa"/>
            <w:gridSpan w:val="2"/>
            <w:tcBorders/>
            <w:shd w:fill="auto" w:val="clear"/>
            <w:vAlign w:val="bottom"/>
          </w:tcPr>
          <w:p>
            <w:pPr>
              <w:pStyle w:val="Normal"/>
              <w:spacing w:lineRule="auto" w:line="240" w:before="0" w:after="0"/>
              <w:jc w:val="right"/>
              <w:rPr>
                <w:b/>
                <w:b/>
                <w:bCs/>
                <w:sz w:val="20"/>
                <w:szCs w:val="20"/>
                <w:lang w:eastAsia="ru-RU"/>
              </w:rPr>
            </w:pPr>
            <w:r>
              <w:rPr>
                <w:b/>
                <w:bCs/>
                <w:sz w:val="20"/>
                <w:szCs w:val="20"/>
                <w:lang w:eastAsia="ru-RU"/>
              </w:rPr>
              <w:t>56,220,616.83</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r>
      <w:tr>
        <w:trPr>
          <w:trHeight w:val="300" w:hRule="atLeast"/>
        </w:trPr>
        <w:tc>
          <w:tcPr>
            <w:tcW w:w="7814" w:type="dxa"/>
            <w:gridSpan w:val="4"/>
            <w:tcBorders/>
            <w:shd w:color="000000" w:fill="D9D9D9" w:val="clear"/>
            <w:vAlign w:val="center"/>
          </w:tcPr>
          <w:p>
            <w:pPr>
              <w:pStyle w:val="Normal"/>
              <w:spacing w:lineRule="auto" w:line="240" w:before="0" w:after="0"/>
              <w:rPr>
                <w:b/>
                <w:b/>
                <w:bCs/>
                <w:i/>
                <w:i/>
                <w:iCs/>
                <w:lang w:eastAsia="ru-RU"/>
              </w:rPr>
            </w:pPr>
            <w:r>
              <w:rPr>
                <w:b/>
                <w:bCs/>
                <w:i/>
                <w:iCs/>
                <w:lang w:eastAsia="ru-RU"/>
              </w:rPr>
              <w:t>Использование - поступления по договорам подряда (вне сметы)</w:t>
            </w:r>
          </w:p>
          <w:p>
            <w:pPr>
              <w:pStyle w:val="Normal"/>
              <w:spacing w:lineRule="auto" w:line="240" w:before="0" w:after="0"/>
              <w:rPr>
                <w:sz w:val="18"/>
                <w:szCs w:val="18"/>
                <w:lang w:eastAsia="ru-RU"/>
              </w:rPr>
            </w:pPr>
            <w:r>
              <w:rPr>
                <w:sz w:val="18"/>
                <w:szCs w:val="18"/>
                <w:lang w:eastAsia="ru-RU"/>
              </w:rPr>
              <w:t> </w:t>
            </w:r>
          </w:p>
        </w:tc>
        <w:tc>
          <w:tcPr>
            <w:tcW w:w="1663" w:type="dxa"/>
            <w:tcBorders/>
            <w:shd w:color="000000" w:fill="D9D9D9" w:val="clear"/>
            <w:vAlign w:val="center"/>
          </w:tcPr>
          <w:p>
            <w:pPr>
              <w:pStyle w:val="Normal"/>
              <w:spacing w:lineRule="auto" w:line="240" w:before="0" w:after="0"/>
              <w:jc w:val="right"/>
              <w:rPr>
                <w:sz w:val="18"/>
                <w:szCs w:val="18"/>
                <w:lang w:eastAsia="ru-RU"/>
              </w:rPr>
            </w:pPr>
            <w:r>
              <w:rPr>
                <w:sz w:val="18"/>
                <w:szCs w:val="18"/>
                <w:lang w:eastAsia="ru-RU"/>
              </w:rPr>
              <w:t> </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Приобретение материалов</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5,641,984.78</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t>Налоги</w:t>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147,572.00</w:t>
            </w:r>
          </w:p>
        </w:tc>
      </w:tr>
      <w:tr>
        <w:trPr>
          <w:trHeight w:val="300" w:hRule="atLeast"/>
        </w:trPr>
        <w:tc>
          <w:tcPr>
            <w:tcW w:w="6228" w:type="dxa"/>
            <w:gridSpan w:val="2"/>
            <w:tcBorders/>
            <w:shd w:fill="auto" w:val="clear"/>
            <w:vAlign w:val="center"/>
          </w:tcPr>
          <w:p>
            <w:pPr>
              <w:pStyle w:val="Normal"/>
              <w:spacing w:lineRule="auto" w:line="240" w:before="0" w:after="0"/>
              <w:rPr>
                <w:i/>
                <w:i/>
                <w:iCs/>
                <w:sz w:val="18"/>
                <w:szCs w:val="18"/>
                <w:lang w:eastAsia="ru-RU"/>
              </w:rPr>
            </w:pPr>
            <w:r>
              <w:rPr>
                <w:i/>
                <w:iCs/>
                <w:sz w:val="18"/>
                <w:szCs w:val="18"/>
                <w:lang w:eastAsia="ru-RU"/>
              </w:rPr>
            </w:r>
          </w:p>
        </w:tc>
        <w:tc>
          <w:tcPr>
            <w:tcW w:w="1585" w:type="dxa"/>
            <w:tcBorders/>
            <w:shd w:fill="auto" w:val="clear"/>
            <w:vAlign w:val="bottom"/>
          </w:tcPr>
          <w:p>
            <w:pPr>
              <w:pStyle w:val="Normal"/>
              <w:spacing w:lineRule="auto" w:line="240" w:before="0" w:after="0"/>
              <w:jc w:val="right"/>
              <w:rPr>
                <w:b/>
                <w:b/>
                <w:bCs/>
                <w:sz w:val="20"/>
                <w:szCs w:val="20"/>
                <w:lang w:eastAsia="ru-RU"/>
              </w:rPr>
            </w:pPr>
            <w:r>
              <w:rPr>
                <w:b/>
                <w:bCs/>
                <w:sz w:val="20"/>
                <w:szCs w:val="20"/>
                <w:lang w:eastAsia="ru-RU"/>
              </w:rPr>
              <w:t>0.00</w:t>
            </w:r>
          </w:p>
        </w:tc>
        <w:tc>
          <w:tcPr>
            <w:tcW w:w="1664" w:type="dxa"/>
            <w:gridSpan w:val="2"/>
            <w:tcBorders/>
            <w:shd w:fill="auto" w:val="clear"/>
            <w:vAlign w:val="bottom"/>
          </w:tcPr>
          <w:p>
            <w:pPr>
              <w:pStyle w:val="Normal"/>
              <w:spacing w:lineRule="auto" w:line="240" w:before="0" w:after="0"/>
              <w:jc w:val="right"/>
              <w:rPr>
                <w:b/>
                <w:b/>
                <w:bCs/>
                <w:sz w:val="20"/>
                <w:szCs w:val="20"/>
                <w:lang w:eastAsia="ru-RU"/>
              </w:rPr>
            </w:pPr>
            <w:r>
              <w:rPr>
                <w:b/>
                <w:bCs/>
                <w:sz w:val="20"/>
                <w:szCs w:val="20"/>
                <w:lang w:eastAsia="ru-RU"/>
              </w:rPr>
              <w:t>5,789,556.78</w:t>
            </w:r>
          </w:p>
        </w:tc>
      </w:tr>
      <w:tr>
        <w:trPr>
          <w:trHeight w:val="300" w:hRule="atLeast"/>
        </w:trPr>
        <w:tc>
          <w:tcPr>
            <w:tcW w:w="1319" w:type="dxa"/>
            <w:tcBorders/>
            <w:shd w:fill="auto" w:val="clear"/>
            <w:vAlign w:val="bottom"/>
          </w:tcPr>
          <w:p>
            <w:pPr>
              <w:pStyle w:val="Normal"/>
              <w:spacing w:lineRule="auto" w:line="240" w:before="0" w:after="0"/>
              <w:rPr>
                <w:color w:val="000000"/>
                <w:lang w:eastAsia="ru-RU"/>
              </w:rPr>
            </w:pPr>
            <w:r>
              <w:rPr>
                <w:color w:val="000000"/>
                <w:lang w:eastAsia="ru-RU"/>
              </w:rPr>
            </w:r>
          </w:p>
        </w:tc>
        <w:tc>
          <w:tcPr>
            <w:tcW w:w="4909" w:type="dxa"/>
            <w:tcBorders/>
            <w:shd w:fill="auto" w:val="clear"/>
            <w:vAlign w:val="bottom"/>
          </w:tcPr>
          <w:p>
            <w:pPr>
              <w:pStyle w:val="Normal"/>
              <w:spacing w:lineRule="auto" w:line="240" w:before="0" w:after="0"/>
              <w:rPr>
                <w:color w:val="000000"/>
                <w:lang w:eastAsia="ru-RU"/>
              </w:rPr>
            </w:pPr>
            <w:r>
              <w:rPr>
                <w:color w:val="000000"/>
                <w:lang w:eastAsia="ru-RU"/>
              </w:rPr>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r>
      <w:tr>
        <w:trPr>
          <w:trHeight w:val="300" w:hRule="atLeast"/>
        </w:trPr>
        <w:tc>
          <w:tcPr>
            <w:tcW w:w="6228" w:type="dxa"/>
            <w:gridSpan w:val="2"/>
            <w:tcBorders/>
            <w:shd w:color="000000" w:fill="D9D9D9" w:val="clear"/>
            <w:vAlign w:val="center"/>
          </w:tcPr>
          <w:p>
            <w:pPr>
              <w:pStyle w:val="Normal"/>
              <w:spacing w:lineRule="auto" w:line="240" w:before="0" w:after="0"/>
              <w:rPr>
                <w:b/>
                <w:b/>
                <w:bCs/>
                <w:i/>
                <w:i/>
                <w:iCs/>
                <w:lang w:eastAsia="ru-RU"/>
              </w:rPr>
            </w:pPr>
            <w:r>
              <w:rPr>
                <w:b/>
                <w:bCs/>
                <w:i/>
                <w:iCs/>
                <w:lang w:eastAsia="ru-RU"/>
              </w:rPr>
              <w:t>Использование - целевые взносы</w:t>
            </w:r>
          </w:p>
        </w:tc>
        <w:tc>
          <w:tcPr>
            <w:tcW w:w="1585" w:type="dxa"/>
            <w:tcBorders/>
            <w:shd w:color="000000" w:fill="D9D9D9" w:val="clear"/>
            <w:vAlign w:val="bottom"/>
          </w:tcPr>
          <w:p>
            <w:pPr>
              <w:pStyle w:val="Normal"/>
              <w:spacing w:lineRule="auto" w:line="240" w:before="0" w:after="0"/>
              <w:rPr>
                <w:sz w:val="18"/>
                <w:szCs w:val="18"/>
                <w:lang w:eastAsia="ru-RU"/>
              </w:rPr>
            </w:pPr>
            <w:r>
              <w:rPr>
                <w:sz w:val="18"/>
                <w:szCs w:val="18"/>
                <w:lang w:eastAsia="ru-RU"/>
              </w:rPr>
              <w:t> </w:t>
            </w:r>
          </w:p>
        </w:tc>
        <w:tc>
          <w:tcPr>
            <w:tcW w:w="1664" w:type="dxa"/>
            <w:gridSpan w:val="2"/>
            <w:tcBorders/>
            <w:shd w:color="000000" w:fill="D9D9D9" w:val="clear"/>
            <w:vAlign w:val="center"/>
          </w:tcPr>
          <w:p>
            <w:pPr>
              <w:pStyle w:val="Normal"/>
              <w:spacing w:lineRule="auto" w:line="240" w:before="0" w:after="0"/>
              <w:jc w:val="right"/>
              <w:rPr>
                <w:sz w:val="18"/>
                <w:szCs w:val="18"/>
                <w:lang w:eastAsia="ru-RU"/>
              </w:rPr>
            </w:pPr>
            <w:r>
              <w:rPr>
                <w:sz w:val="18"/>
                <w:szCs w:val="18"/>
                <w:lang w:eastAsia="ru-RU"/>
              </w:rPr>
              <w:t> </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За счет целевых взносов на аренду участков</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3,150,000.00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3,109,792.46</w:t>
            </w:r>
          </w:p>
        </w:tc>
      </w:tr>
      <w:tr>
        <w:trPr>
          <w:trHeight w:val="300" w:hRule="atLeast"/>
        </w:trPr>
        <w:tc>
          <w:tcPr>
            <w:tcW w:w="1319" w:type="dxa"/>
            <w:tcBorders/>
            <w:shd w:fill="auto" w:val="clear"/>
            <w:vAlign w:val="center"/>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rPr>
                <w:sz w:val="18"/>
                <w:szCs w:val="18"/>
                <w:lang w:eastAsia="ru-RU"/>
              </w:rPr>
            </w:pPr>
            <w:r>
              <w:rPr>
                <w:sz w:val="18"/>
                <w:szCs w:val="18"/>
                <w:lang w:eastAsia="ru-RU"/>
              </w:rPr>
              <w:t>аренда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3,105,980.57</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пени по аренде</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color w:val="404040"/>
                <w:sz w:val="18"/>
                <w:szCs w:val="18"/>
                <w:lang w:eastAsia="ru-RU"/>
              </w:rPr>
            </w:pPr>
            <w:r>
              <w:rPr>
                <w:color w:val="404040"/>
                <w:sz w:val="18"/>
                <w:szCs w:val="18"/>
                <w:lang w:eastAsia="ru-RU"/>
              </w:rPr>
              <w:t>3,811.89</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За счет целевых взносов на развитие инфраструктуры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устройство дорог</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30,000,000.00</w:t>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30,119,184.10</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проектная документация (планировка и застройка)</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1,500,000.00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1,050,000.00</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водоснабжение</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2,000,000.00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649,798.13</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электроснабжение</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35,000,000.00</w:t>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41,477,422.49</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покупка столбов, опоры</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1,926,310.00</w:t>
            </w:r>
          </w:p>
        </w:tc>
      </w:tr>
      <w:tr>
        <w:trPr>
          <w:trHeight w:val="300" w:hRule="atLeast"/>
        </w:trPr>
        <w:tc>
          <w:tcPr>
            <w:tcW w:w="1319" w:type="dxa"/>
            <w:tcBorders/>
            <w:shd w:fill="auto" w:val="clear"/>
            <w:vAlign w:val="bottom"/>
          </w:tcPr>
          <w:p>
            <w:pPr>
              <w:pStyle w:val="Normal"/>
              <w:spacing w:lineRule="auto" w:line="240" w:before="0" w:after="0"/>
              <w:rPr>
                <w:sz w:val="18"/>
                <w:szCs w:val="18"/>
                <w:lang w:eastAsia="ru-RU"/>
              </w:rPr>
            </w:pPr>
            <w:r>
              <w:rPr>
                <w:sz w:val="18"/>
                <w:szCs w:val="18"/>
                <w:lang w:eastAsia="ru-RU"/>
              </w:rPr>
            </w:r>
          </w:p>
        </w:tc>
        <w:tc>
          <w:tcPr>
            <w:tcW w:w="4909" w:type="dxa"/>
            <w:tcBorders/>
            <w:shd w:fill="auto" w:val="clear"/>
            <w:vAlign w:val="bottom"/>
          </w:tcPr>
          <w:p>
            <w:pPr>
              <w:pStyle w:val="Normal"/>
              <w:spacing w:lineRule="auto" w:line="240" w:before="0" w:after="0"/>
              <w:rPr>
                <w:sz w:val="18"/>
                <w:szCs w:val="18"/>
                <w:lang w:eastAsia="ru-RU"/>
              </w:rPr>
            </w:pPr>
            <w:r>
              <w:rPr>
                <w:sz w:val="18"/>
                <w:szCs w:val="18"/>
                <w:lang w:eastAsia="ru-RU"/>
              </w:rPr>
              <w:t>землеустроительные работы</w:t>
            </w:r>
          </w:p>
        </w:tc>
        <w:tc>
          <w:tcPr>
            <w:tcW w:w="1585" w:type="dxa"/>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r>
          </w:p>
        </w:tc>
        <w:tc>
          <w:tcPr>
            <w:tcW w:w="1664" w:type="dxa"/>
            <w:gridSpan w:val="2"/>
            <w:tcBorders/>
            <w:shd w:fill="auto" w:val="clear"/>
            <w:vAlign w:val="bottom"/>
          </w:tcPr>
          <w:p>
            <w:pPr>
              <w:pStyle w:val="Normal"/>
              <w:spacing w:lineRule="auto" w:line="240" w:before="0" w:after="0"/>
              <w:jc w:val="right"/>
              <w:rPr>
                <w:color w:val="C00000"/>
                <w:sz w:val="20"/>
                <w:szCs w:val="20"/>
                <w:lang w:eastAsia="ru-RU"/>
              </w:rPr>
            </w:pPr>
            <w:r>
              <w:rPr>
                <w:color w:val="C00000"/>
                <w:sz w:val="20"/>
                <w:szCs w:val="20"/>
                <w:lang w:eastAsia="ru-RU"/>
              </w:rPr>
              <w:t>770,000.00</w:t>
            </w:r>
          </w:p>
        </w:tc>
      </w:tr>
      <w:tr>
        <w:trPr>
          <w:trHeight w:val="300" w:hRule="atLeast"/>
        </w:trPr>
        <w:tc>
          <w:tcPr>
            <w:tcW w:w="6228"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За счет целевых взносов на газоснабжение</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6,000,000.00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710,294.00</w:t>
            </w:r>
          </w:p>
        </w:tc>
      </w:tr>
      <w:tr>
        <w:trPr>
          <w:trHeight w:val="300" w:hRule="atLeast"/>
        </w:trPr>
        <w:tc>
          <w:tcPr>
            <w:tcW w:w="6228" w:type="dxa"/>
            <w:gridSpan w:val="2"/>
            <w:tcBorders/>
            <w:shd w:fill="auto" w:val="clear"/>
            <w:vAlign w:val="bottom"/>
          </w:tcPr>
          <w:p>
            <w:pPr>
              <w:pStyle w:val="Normal"/>
              <w:spacing w:lineRule="auto" w:line="240" w:before="0" w:after="0"/>
              <w:rPr>
                <w:sz w:val="18"/>
                <w:szCs w:val="18"/>
                <w:lang w:eastAsia="ru-RU"/>
              </w:rPr>
            </w:pPr>
            <w:r>
              <w:rPr>
                <w:sz w:val="18"/>
                <w:szCs w:val="18"/>
                <w:lang w:eastAsia="ru-RU"/>
              </w:rPr>
              <w:t>Потребленное электричество (вне сметы)</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t>0.00</w:t>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t>1,551,883.96</w:t>
            </w:r>
          </w:p>
        </w:tc>
      </w:tr>
      <w:tr>
        <w:trPr>
          <w:trHeight w:val="300" w:hRule="atLeast"/>
        </w:trPr>
        <w:tc>
          <w:tcPr>
            <w:tcW w:w="6228" w:type="dxa"/>
            <w:gridSpan w:val="2"/>
            <w:tcBorders/>
            <w:shd w:fill="auto" w:val="clear"/>
            <w:vAlign w:val="center"/>
          </w:tcPr>
          <w:p>
            <w:pPr>
              <w:pStyle w:val="Normal"/>
              <w:spacing w:lineRule="auto" w:line="240" w:before="0" w:after="0"/>
              <w:rPr>
                <w:i/>
                <w:i/>
                <w:iCs/>
                <w:sz w:val="18"/>
                <w:szCs w:val="18"/>
                <w:lang w:eastAsia="ru-RU"/>
              </w:rPr>
            </w:pPr>
            <w:r>
              <w:rPr>
                <w:i/>
                <w:iCs/>
                <w:sz w:val="18"/>
                <w:szCs w:val="18"/>
                <w:lang w:eastAsia="ru-RU"/>
              </w:rPr>
            </w:r>
          </w:p>
        </w:tc>
        <w:tc>
          <w:tcPr>
            <w:tcW w:w="1585" w:type="dxa"/>
            <w:tcBorders/>
            <w:shd w:fill="auto" w:val="clear"/>
            <w:vAlign w:val="bottom"/>
          </w:tcPr>
          <w:p>
            <w:pPr>
              <w:pStyle w:val="Normal"/>
              <w:spacing w:lineRule="auto" w:line="240" w:before="0" w:after="0"/>
              <w:jc w:val="right"/>
              <w:rPr>
                <w:b/>
                <w:b/>
                <w:bCs/>
                <w:sz w:val="20"/>
                <w:szCs w:val="20"/>
                <w:lang w:eastAsia="ru-RU"/>
              </w:rPr>
            </w:pPr>
            <w:r>
              <w:rPr>
                <w:b/>
                <w:bCs/>
                <w:sz w:val="20"/>
                <w:szCs w:val="20"/>
                <w:lang w:eastAsia="ru-RU"/>
              </w:rPr>
              <w:t>77,650,000.00</w:t>
            </w:r>
          </w:p>
        </w:tc>
        <w:tc>
          <w:tcPr>
            <w:tcW w:w="1664" w:type="dxa"/>
            <w:gridSpan w:val="2"/>
            <w:tcBorders/>
            <w:shd w:fill="auto" w:val="clear"/>
            <w:vAlign w:val="bottom"/>
          </w:tcPr>
          <w:p>
            <w:pPr>
              <w:pStyle w:val="Normal"/>
              <w:spacing w:lineRule="auto" w:line="240" w:before="0" w:after="0"/>
              <w:jc w:val="right"/>
              <w:rPr>
                <w:b/>
                <w:b/>
                <w:bCs/>
                <w:sz w:val="20"/>
                <w:szCs w:val="20"/>
                <w:lang w:eastAsia="ru-RU"/>
              </w:rPr>
            </w:pPr>
            <w:r>
              <w:rPr>
                <w:b/>
                <w:bCs/>
                <w:sz w:val="20"/>
                <w:szCs w:val="20"/>
                <w:lang w:eastAsia="ru-RU"/>
              </w:rPr>
              <w:t>81,364,685.14</w:t>
            </w:r>
          </w:p>
        </w:tc>
      </w:tr>
      <w:tr>
        <w:trPr>
          <w:trHeight w:val="300" w:hRule="atLeast"/>
        </w:trPr>
        <w:tc>
          <w:tcPr>
            <w:tcW w:w="6228" w:type="dxa"/>
            <w:gridSpan w:val="2"/>
            <w:tcBorders/>
            <w:shd w:fill="auto" w:val="clear"/>
            <w:vAlign w:val="bottom"/>
          </w:tcPr>
          <w:p>
            <w:pPr>
              <w:pStyle w:val="Normal"/>
              <w:spacing w:lineRule="auto" w:line="240" w:before="0" w:after="0"/>
              <w:rPr>
                <w:b/>
                <w:b/>
                <w:bCs/>
                <w:color w:val="000000"/>
                <w:lang w:eastAsia="ru-RU"/>
              </w:rPr>
            </w:pPr>
            <w:r>
              <w:rPr>
                <w:b/>
                <w:bCs/>
                <w:color w:val="000000"/>
                <w:lang w:eastAsia="ru-RU"/>
              </w:rPr>
              <w:t>ИТОГО РАСХОДОВАНИЕ</w:t>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b/>
                <w:b/>
                <w:bCs/>
                <w:color w:val="000000"/>
                <w:sz w:val="20"/>
                <w:szCs w:val="20"/>
                <w:lang w:eastAsia="ru-RU"/>
              </w:rPr>
            </w:pPr>
            <w:r>
              <w:rPr>
                <w:b/>
                <w:bCs/>
                <w:color w:val="000000"/>
                <w:sz w:val="20"/>
                <w:szCs w:val="20"/>
                <w:lang w:eastAsia="ru-RU"/>
              </w:rPr>
              <w:t>156,546,756.91</w:t>
            </w:r>
          </w:p>
        </w:tc>
      </w:tr>
      <w:tr>
        <w:trPr>
          <w:trHeight w:val="300" w:hRule="atLeast"/>
        </w:trPr>
        <w:tc>
          <w:tcPr>
            <w:tcW w:w="1319" w:type="dxa"/>
            <w:tcBorders/>
            <w:shd w:fill="auto" w:val="clear"/>
            <w:vAlign w:val="center"/>
          </w:tcPr>
          <w:p>
            <w:pPr>
              <w:pStyle w:val="Normal"/>
              <w:spacing w:lineRule="auto" w:line="240" w:before="0" w:after="0"/>
              <w:jc w:val="right"/>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jc w:val="right"/>
              <w:rPr>
                <w:sz w:val="18"/>
                <w:szCs w:val="18"/>
                <w:lang w:eastAsia="ru-RU"/>
              </w:rPr>
            </w:pPr>
            <w:r>
              <w:rPr>
                <w:sz w:val="18"/>
                <w:szCs w:val="18"/>
                <w:lang w:eastAsia="ru-RU"/>
              </w:rPr>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r>
      <w:tr>
        <w:trPr>
          <w:trHeight w:val="300" w:hRule="atLeast"/>
        </w:trPr>
        <w:tc>
          <w:tcPr>
            <w:tcW w:w="1319" w:type="dxa"/>
            <w:tcBorders/>
            <w:shd w:fill="auto" w:val="clear"/>
            <w:vAlign w:val="center"/>
          </w:tcPr>
          <w:p>
            <w:pPr>
              <w:pStyle w:val="Normal"/>
              <w:spacing w:lineRule="auto" w:line="240" w:before="0" w:after="0"/>
              <w:jc w:val="right"/>
              <w:rPr>
                <w:sz w:val="18"/>
                <w:szCs w:val="18"/>
                <w:lang w:eastAsia="ru-RU"/>
              </w:rPr>
            </w:pPr>
            <w:r>
              <w:rPr>
                <w:sz w:val="18"/>
                <w:szCs w:val="18"/>
                <w:lang w:eastAsia="ru-RU"/>
              </w:rPr>
            </w:r>
          </w:p>
        </w:tc>
        <w:tc>
          <w:tcPr>
            <w:tcW w:w="4909" w:type="dxa"/>
            <w:tcBorders/>
            <w:shd w:fill="auto" w:val="clear"/>
            <w:vAlign w:val="center"/>
          </w:tcPr>
          <w:p>
            <w:pPr>
              <w:pStyle w:val="Normal"/>
              <w:spacing w:lineRule="auto" w:line="240" w:before="0" w:after="0"/>
              <w:jc w:val="right"/>
              <w:rPr>
                <w:sz w:val="18"/>
                <w:szCs w:val="18"/>
                <w:lang w:eastAsia="ru-RU"/>
              </w:rPr>
            </w:pPr>
            <w:r>
              <w:rPr>
                <w:sz w:val="18"/>
                <w:szCs w:val="18"/>
                <w:lang w:eastAsia="ru-RU"/>
              </w:rPr>
            </w:r>
          </w:p>
        </w:tc>
        <w:tc>
          <w:tcPr>
            <w:tcW w:w="1585" w:type="dxa"/>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c>
          <w:tcPr>
            <w:tcW w:w="1664" w:type="dxa"/>
            <w:gridSpan w:val="2"/>
            <w:tcBorders/>
            <w:shd w:fill="auto" w:val="clear"/>
            <w:vAlign w:val="bottom"/>
          </w:tcPr>
          <w:p>
            <w:pPr>
              <w:pStyle w:val="Normal"/>
              <w:spacing w:lineRule="auto" w:line="240" w:before="0" w:after="0"/>
              <w:jc w:val="right"/>
              <w:rPr>
                <w:sz w:val="20"/>
                <w:szCs w:val="20"/>
                <w:lang w:eastAsia="ru-RU"/>
              </w:rPr>
            </w:pPr>
            <w:r>
              <w:rPr>
                <w:sz w:val="20"/>
                <w:szCs w:val="20"/>
                <w:lang w:eastAsia="ru-RU"/>
              </w:rPr>
            </w:r>
          </w:p>
        </w:tc>
      </w:tr>
      <w:tr>
        <w:trPr>
          <w:trHeight w:val="300" w:hRule="atLeast"/>
        </w:trPr>
        <w:tc>
          <w:tcPr>
            <w:tcW w:w="6228" w:type="dxa"/>
            <w:gridSpan w:val="2"/>
            <w:tcBorders/>
            <w:shd w:fill="auto" w:val="clear"/>
            <w:vAlign w:val="center"/>
          </w:tcPr>
          <w:p>
            <w:pPr>
              <w:pStyle w:val="Normal"/>
              <w:spacing w:lineRule="auto" w:line="240" w:before="0" w:after="0"/>
              <w:rPr>
                <w:b/>
                <w:b/>
                <w:bCs/>
                <w:sz w:val="18"/>
                <w:szCs w:val="18"/>
                <w:lang w:eastAsia="ru-RU"/>
              </w:rPr>
            </w:pPr>
            <w:r>
              <w:rPr>
                <w:b/>
                <w:bCs/>
                <w:sz w:val="18"/>
                <w:szCs w:val="18"/>
                <w:lang w:eastAsia="ru-RU"/>
              </w:rPr>
              <w:t>Остаток средств на расчетном счете на 01.01.2016:</w:t>
            </w:r>
          </w:p>
        </w:tc>
        <w:tc>
          <w:tcPr>
            <w:tcW w:w="1585" w:type="dxa"/>
            <w:tcBorders/>
            <w:shd w:fill="auto" w:val="clear"/>
            <w:vAlign w:val="center"/>
          </w:tcPr>
          <w:p>
            <w:pPr>
              <w:pStyle w:val="Normal"/>
              <w:spacing w:lineRule="auto" w:line="240" w:before="0" w:after="0"/>
              <w:jc w:val="center"/>
              <w:rPr>
                <w:b/>
                <w:b/>
                <w:bCs/>
                <w:sz w:val="18"/>
                <w:szCs w:val="18"/>
                <w:lang w:eastAsia="ru-RU"/>
              </w:rPr>
            </w:pPr>
            <w:r>
              <w:rPr>
                <w:b/>
                <w:bCs/>
                <w:sz w:val="18"/>
                <w:szCs w:val="18"/>
                <w:lang w:eastAsia="ru-RU"/>
              </w:rPr>
            </w:r>
          </w:p>
        </w:tc>
        <w:tc>
          <w:tcPr>
            <w:tcW w:w="1664" w:type="dxa"/>
            <w:gridSpan w:val="2"/>
            <w:tcBorders/>
            <w:shd w:fill="auto" w:val="clear"/>
            <w:vAlign w:val="center"/>
          </w:tcPr>
          <w:p>
            <w:pPr>
              <w:pStyle w:val="Normal"/>
              <w:spacing w:lineRule="auto" w:line="240" w:before="0" w:after="0"/>
              <w:jc w:val="center"/>
              <w:rPr>
                <w:b/>
                <w:b/>
                <w:bCs/>
                <w:sz w:val="18"/>
                <w:szCs w:val="18"/>
                <w:lang w:eastAsia="ru-RU"/>
              </w:rPr>
            </w:pPr>
            <w:r>
              <w:rPr>
                <w:b/>
                <w:bCs/>
                <w:sz w:val="18"/>
                <w:szCs w:val="18"/>
                <w:lang w:eastAsia="ru-RU"/>
              </w:rPr>
              <w:t>5,939,750.76</w:t>
            </w:r>
          </w:p>
        </w:tc>
      </w:tr>
      <w:tr>
        <w:trPr>
          <w:trHeight w:val="300" w:hRule="atLeast"/>
        </w:trPr>
        <w:tc>
          <w:tcPr>
            <w:tcW w:w="6228" w:type="dxa"/>
            <w:gridSpan w:val="2"/>
            <w:tcBorders/>
            <w:shd w:fill="auto" w:val="clear"/>
            <w:vAlign w:val="center"/>
          </w:tcPr>
          <w:p>
            <w:pPr>
              <w:pStyle w:val="Normal"/>
              <w:spacing w:lineRule="auto" w:line="240" w:before="0" w:after="0"/>
              <w:rPr>
                <w:b/>
                <w:b/>
                <w:bCs/>
                <w:sz w:val="18"/>
                <w:szCs w:val="18"/>
                <w:lang w:eastAsia="ru-RU"/>
              </w:rPr>
            </w:pPr>
            <w:r>
              <w:rPr>
                <w:b/>
                <w:bCs/>
                <w:sz w:val="18"/>
                <w:szCs w:val="18"/>
                <w:lang w:eastAsia="ru-RU"/>
              </w:rPr>
              <w:t>Долг по авансовым отчетам</w:t>
            </w:r>
          </w:p>
        </w:tc>
        <w:tc>
          <w:tcPr>
            <w:tcW w:w="1585" w:type="dxa"/>
            <w:tcBorders/>
            <w:shd w:fill="auto" w:val="clear"/>
            <w:vAlign w:val="center"/>
          </w:tcPr>
          <w:p>
            <w:pPr>
              <w:pStyle w:val="Normal"/>
              <w:spacing w:lineRule="auto" w:line="240" w:before="0" w:after="0"/>
              <w:jc w:val="center"/>
              <w:rPr>
                <w:b/>
                <w:b/>
                <w:bCs/>
                <w:sz w:val="18"/>
                <w:szCs w:val="18"/>
                <w:lang w:eastAsia="ru-RU"/>
              </w:rPr>
            </w:pPr>
            <w:r>
              <w:rPr>
                <w:b/>
                <w:bCs/>
                <w:sz w:val="18"/>
                <w:szCs w:val="18"/>
                <w:lang w:eastAsia="ru-RU"/>
              </w:rPr>
            </w:r>
          </w:p>
        </w:tc>
        <w:tc>
          <w:tcPr>
            <w:tcW w:w="1664" w:type="dxa"/>
            <w:gridSpan w:val="2"/>
            <w:tcBorders/>
            <w:shd w:fill="auto" w:val="clear"/>
            <w:vAlign w:val="center"/>
          </w:tcPr>
          <w:p>
            <w:pPr>
              <w:pStyle w:val="Normal"/>
              <w:spacing w:lineRule="auto" w:line="240" w:before="0" w:after="0"/>
              <w:jc w:val="center"/>
              <w:rPr>
                <w:b/>
                <w:b/>
                <w:bCs/>
                <w:sz w:val="18"/>
                <w:szCs w:val="18"/>
                <w:lang w:eastAsia="ru-RU"/>
              </w:rPr>
            </w:pPr>
            <w:r>
              <w:rPr>
                <w:b/>
                <w:bCs/>
                <w:sz w:val="18"/>
                <w:szCs w:val="18"/>
                <w:lang w:eastAsia="ru-RU"/>
              </w:rPr>
              <w:t>-158,133.53</w:t>
            </w:r>
          </w:p>
        </w:tc>
      </w:tr>
    </w:tbl>
    <w:p>
      <w:pPr>
        <w:pStyle w:val="NormalWeb"/>
        <w:spacing w:beforeAutospacing="0" w:before="0" w:afterAutospacing="0" w:after="0"/>
        <w:ind w:left="-567" w:firstLine="567"/>
        <w:jc w:val="right"/>
        <w:rPr/>
      </w:pPr>
      <w:r>
        <w:rPr/>
      </w:r>
    </w:p>
    <w:p>
      <w:pPr>
        <w:pStyle w:val="NormalWeb"/>
        <w:spacing w:beforeAutospacing="0" w:before="0" w:afterAutospacing="0" w:after="0"/>
        <w:ind w:left="-567" w:firstLine="567"/>
        <w:jc w:val="both"/>
        <w:rPr/>
      </w:pPr>
      <w:r>
        <w:rPr/>
        <w:t>Отчет об использовании средств (приходно-расходный) представлен в табл.17.</w:t>
      </w:r>
    </w:p>
    <w:p>
      <w:pPr>
        <w:pStyle w:val="NormalWeb"/>
        <w:spacing w:beforeAutospacing="0" w:before="0" w:afterAutospacing="0" w:after="0"/>
        <w:ind w:left="-567" w:firstLine="567"/>
        <w:jc w:val="right"/>
        <w:rPr/>
      </w:pPr>
      <w:r>
        <w:rPr/>
      </w:r>
    </w:p>
    <w:p>
      <w:pPr>
        <w:pStyle w:val="NormalWeb"/>
        <w:spacing w:beforeAutospacing="0" w:before="0" w:afterAutospacing="0" w:after="0"/>
        <w:ind w:left="-567" w:firstLine="567"/>
        <w:jc w:val="right"/>
        <w:rPr/>
      </w:pPr>
      <w:r>
        <w:rPr/>
        <w:t>Табл.17</w:t>
      </w:r>
    </w:p>
    <w:p>
      <w:pPr>
        <w:pStyle w:val="NormalWeb"/>
        <w:spacing w:beforeAutospacing="0" w:before="0" w:afterAutospacing="0" w:after="0"/>
        <w:ind w:left="-567" w:firstLine="567"/>
        <w:jc w:val="both"/>
        <w:rPr/>
      </w:pPr>
      <w:r>
        <w:rPr/>
      </w:r>
    </w:p>
    <w:tbl>
      <w:tblPr>
        <w:tblW w:w="8946" w:type="dxa"/>
        <w:jc w:val="left"/>
        <w:tblInd w:w="93" w:type="dxa"/>
        <w:tblBorders/>
        <w:tblCellMar>
          <w:top w:w="0" w:type="dxa"/>
          <w:left w:w="108" w:type="dxa"/>
          <w:bottom w:w="0" w:type="dxa"/>
          <w:right w:w="108" w:type="dxa"/>
        </w:tblCellMar>
        <w:tblLook w:noVBand="0" w:val="00a0" w:noHBand="0" w:lastColumn="0" w:firstColumn="1" w:lastRow="0" w:firstRow="1"/>
      </w:tblPr>
      <w:tblGrid>
        <w:gridCol w:w="1018"/>
        <w:gridCol w:w="2877"/>
        <w:gridCol w:w="1487"/>
        <w:gridCol w:w="1515"/>
        <w:gridCol w:w="2049"/>
      </w:tblGrid>
      <w:tr>
        <w:trPr>
          <w:trHeight w:val="315" w:hRule="atLeast"/>
        </w:trPr>
        <w:tc>
          <w:tcPr>
            <w:tcW w:w="8946" w:type="dxa"/>
            <w:gridSpan w:val="5"/>
            <w:tcBorders/>
            <w:shd w:fill="auto" w:val="clear"/>
            <w:vAlign w:val="center"/>
          </w:tcPr>
          <w:p>
            <w:pPr>
              <w:pStyle w:val="Normal"/>
              <w:spacing w:lineRule="auto" w:line="240" w:before="0" w:after="0"/>
              <w:rPr>
                <w:sz w:val="24"/>
                <w:szCs w:val="24"/>
                <w:lang w:eastAsia="ru-RU"/>
              </w:rPr>
            </w:pPr>
            <w:r>
              <w:rPr>
                <w:sz w:val="24"/>
                <w:szCs w:val="24"/>
                <w:lang w:eastAsia="ru-RU"/>
              </w:rPr>
              <w:t>ОТЧЕТ ОБ ИСПОЛЬЗОВАНИИ СРЕДСТВ (ПРИХОДНО-РАСХОДНЫЙ)</w:t>
            </w:r>
          </w:p>
        </w:tc>
      </w:tr>
      <w:tr>
        <w:trPr>
          <w:trHeight w:val="300" w:hRule="atLeast"/>
        </w:trPr>
        <w:tc>
          <w:tcPr>
            <w:tcW w:w="1018" w:type="dxa"/>
            <w:tcBorders/>
            <w:shd w:fill="auto" w:val="clear"/>
            <w:vAlign w:val="bottom"/>
          </w:tcPr>
          <w:p>
            <w:pPr>
              <w:pStyle w:val="Normal"/>
              <w:spacing w:lineRule="auto" w:line="240" w:before="0" w:after="0"/>
              <w:rPr>
                <w:color w:val="000000"/>
                <w:lang w:eastAsia="ru-RU"/>
              </w:rPr>
            </w:pPr>
            <w:r>
              <w:rPr>
                <w:color w:val="000000"/>
                <w:lang w:eastAsia="ru-RU"/>
              </w:rPr>
            </w:r>
          </w:p>
        </w:tc>
        <w:tc>
          <w:tcPr>
            <w:tcW w:w="2877" w:type="dxa"/>
            <w:tcBorders/>
            <w:shd w:fill="auto" w:val="clear"/>
            <w:vAlign w:val="bottom"/>
          </w:tcPr>
          <w:p>
            <w:pPr>
              <w:pStyle w:val="Normal"/>
              <w:spacing w:lineRule="auto" w:line="240" w:before="0" w:after="0"/>
              <w:rPr>
                <w:color w:val="000000"/>
                <w:lang w:eastAsia="ru-RU"/>
              </w:rPr>
            </w:pPr>
            <w:r>
              <w:rPr>
                <w:color w:val="000000"/>
                <w:lang w:eastAsia="ru-RU"/>
              </w:rPr>
            </w:r>
          </w:p>
        </w:tc>
        <w:tc>
          <w:tcPr>
            <w:tcW w:w="1487" w:type="dxa"/>
            <w:tcBorders/>
            <w:shd w:fill="auto" w:val="clear"/>
            <w:vAlign w:val="bottom"/>
          </w:tcPr>
          <w:p>
            <w:pPr>
              <w:pStyle w:val="Normal"/>
              <w:spacing w:lineRule="auto" w:line="240" w:before="0" w:after="0"/>
              <w:rPr>
                <w:color w:val="000000"/>
                <w:lang w:eastAsia="ru-RU"/>
              </w:rPr>
            </w:pPr>
            <w:r>
              <w:rPr>
                <w:color w:val="000000"/>
                <w:lang w:eastAsia="ru-RU"/>
              </w:rPr>
            </w:r>
          </w:p>
        </w:tc>
        <w:tc>
          <w:tcPr>
            <w:tcW w:w="1515" w:type="dxa"/>
            <w:tcBorders/>
            <w:shd w:fill="auto" w:val="clear"/>
            <w:vAlign w:val="bottom"/>
          </w:tcPr>
          <w:p>
            <w:pPr>
              <w:pStyle w:val="Normal"/>
              <w:spacing w:lineRule="auto" w:line="240" w:before="0" w:after="0"/>
              <w:rPr>
                <w:color w:val="000000"/>
                <w:lang w:eastAsia="ru-RU"/>
              </w:rPr>
            </w:pPr>
            <w:r>
              <w:rPr>
                <w:color w:val="000000"/>
                <w:lang w:eastAsia="ru-RU"/>
              </w:rPr>
            </w:r>
          </w:p>
        </w:tc>
        <w:tc>
          <w:tcPr>
            <w:tcW w:w="2049" w:type="dxa"/>
            <w:tcBorders/>
            <w:shd w:fill="auto" w:val="clear"/>
            <w:vAlign w:val="bottom"/>
          </w:tcPr>
          <w:p>
            <w:pPr>
              <w:pStyle w:val="Normal"/>
              <w:spacing w:lineRule="auto" w:line="240" w:before="0" w:after="0"/>
              <w:rPr>
                <w:color w:val="000000"/>
                <w:lang w:eastAsia="ru-RU"/>
              </w:rPr>
            </w:pPr>
            <w:r>
              <w:rPr>
                <w:color w:val="000000"/>
                <w:lang w:eastAsia="ru-RU"/>
              </w:rPr>
            </w:r>
          </w:p>
        </w:tc>
      </w:tr>
      <w:tr>
        <w:trPr>
          <w:trHeight w:val="915" w:hRule="atLeast"/>
        </w:trPr>
        <w:tc>
          <w:tcPr>
            <w:tcW w:w="1018" w:type="dxa"/>
            <w:tcBorders>
              <w:bottom w:val="double" w:sz="6" w:space="0" w:color="00000A"/>
              <w:insideH w:val="double" w:sz="6" w:space="0" w:color="00000A"/>
            </w:tcBorders>
            <w:shd w:fill="auto" w:val="clear"/>
            <w:vAlign w:val="center"/>
          </w:tcPr>
          <w:p>
            <w:pPr>
              <w:pStyle w:val="Normal"/>
              <w:spacing w:lineRule="auto" w:line="240" w:before="0" w:after="0"/>
              <w:jc w:val="center"/>
              <w:rPr>
                <w:b/>
                <w:b/>
                <w:bCs/>
                <w:i/>
                <w:i/>
                <w:iCs/>
                <w:lang w:eastAsia="ru-RU"/>
              </w:rPr>
            </w:pPr>
            <w:r>
              <w:rPr>
                <w:b/>
                <w:bCs/>
                <w:i/>
                <w:iCs/>
                <w:lang w:eastAsia="ru-RU"/>
              </w:rPr>
              <w:t>Статья</w:t>
            </w:r>
          </w:p>
        </w:tc>
        <w:tc>
          <w:tcPr>
            <w:tcW w:w="2877" w:type="dxa"/>
            <w:tcBorders>
              <w:bottom w:val="double" w:sz="6" w:space="0" w:color="00000A"/>
              <w:insideH w:val="double" w:sz="6" w:space="0" w:color="00000A"/>
            </w:tcBorders>
            <w:shd w:fill="auto" w:val="clear"/>
            <w:vAlign w:val="bottom"/>
          </w:tcPr>
          <w:p>
            <w:pPr>
              <w:pStyle w:val="Normal"/>
              <w:spacing w:lineRule="auto" w:line="240" w:before="0" w:after="0"/>
              <w:rPr>
                <w:color w:val="000000"/>
                <w:lang w:eastAsia="ru-RU"/>
              </w:rPr>
            </w:pPr>
            <w:r>
              <w:rPr>
                <w:color w:val="000000"/>
                <w:lang w:eastAsia="ru-RU"/>
              </w:rPr>
              <w:t> </w:t>
            </w:r>
          </w:p>
        </w:tc>
        <w:tc>
          <w:tcPr>
            <w:tcW w:w="1487" w:type="dxa"/>
            <w:tcBorders>
              <w:bottom w:val="double" w:sz="6" w:space="0" w:color="00000A"/>
              <w:insideH w:val="double" w:sz="6" w:space="0" w:color="00000A"/>
            </w:tcBorders>
            <w:shd w:fill="auto" w:val="clear"/>
            <w:vAlign w:val="center"/>
          </w:tcPr>
          <w:p>
            <w:pPr>
              <w:pStyle w:val="Normal"/>
              <w:spacing w:lineRule="auto" w:line="240" w:before="0" w:after="0"/>
              <w:jc w:val="center"/>
              <w:rPr>
                <w:b/>
                <w:b/>
                <w:bCs/>
                <w:i/>
                <w:i/>
                <w:iCs/>
                <w:lang w:eastAsia="ru-RU"/>
              </w:rPr>
            </w:pPr>
            <w:r>
              <w:rPr>
                <w:b/>
                <w:bCs/>
                <w:i/>
                <w:iCs/>
                <w:lang w:eastAsia="ru-RU"/>
              </w:rPr>
              <w:t>Приход</w:t>
            </w:r>
          </w:p>
        </w:tc>
        <w:tc>
          <w:tcPr>
            <w:tcW w:w="1515" w:type="dxa"/>
            <w:tcBorders>
              <w:bottom w:val="double" w:sz="6" w:space="0" w:color="00000A"/>
              <w:insideH w:val="double" w:sz="6" w:space="0" w:color="00000A"/>
            </w:tcBorders>
            <w:shd w:fill="auto" w:val="clear"/>
            <w:vAlign w:val="center"/>
          </w:tcPr>
          <w:p>
            <w:pPr>
              <w:pStyle w:val="Normal"/>
              <w:spacing w:lineRule="auto" w:line="240" w:before="0" w:after="0"/>
              <w:jc w:val="center"/>
              <w:rPr>
                <w:b/>
                <w:b/>
                <w:bCs/>
                <w:i/>
                <w:i/>
                <w:iCs/>
                <w:lang w:eastAsia="ru-RU"/>
              </w:rPr>
            </w:pPr>
            <w:r>
              <w:rPr>
                <w:b/>
                <w:bCs/>
                <w:i/>
                <w:iCs/>
                <w:lang w:eastAsia="ru-RU"/>
              </w:rPr>
              <w:t>Расход</w:t>
            </w:r>
          </w:p>
        </w:tc>
        <w:tc>
          <w:tcPr>
            <w:tcW w:w="2049" w:type="dxa"/>
            <w:tcBorders>
              <w:bottom w:val="double" w:sz="6" w:space="0" w:color="00000A"/>
              <w:insideH w:val="double" w:sz="6" w:space="0" w:color="00000A"/>
            </w:tcBorders>
            <w:shd w:fill="auto" w:val="clear"/>
            <w:vAlign w:val="center"/>
          </w:tcPr>
          <w:p>
            <w:pPr>
              <w:pStyle w:val="Normal"/>
              <w:spacing w:lineRule="auto" w:line="240" w:before="0" w:after="0"/>
              <w:jc w:val="center"/>
              <w:rPr>
                <w:b/>
                <w:b/>
                <w:bCs/>
                <w:i/>
                <w:i/>
                <w:iCs/>
                <w:lang w:eastAsia="ru-RU"/>
              </w:rPr>
            </w:pPr>
            <w:r>
              <w:rPr>
                <w:b/>
                <w:bCs/>
                <w:i/>
                <w:iCs/>
                <w:lang w:eastAsia="ru-RU"/>
              </w:rPr>
              <w:t>Отклонения (+ - профицит, - - дефицит)</w:t>
            </w:r>
          </w:p>
        </w:tc>
      </w:tr>
      <w:tr>
        <w:trPr>
          <w:trHeight w:val="315" w:hRule="atLeast"/>
        </w:trPr>
        <w:tc>
          <w:tcPr>
            <w:tcW w:w="3895"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Вступительные взносы</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58,226,082.19</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56,220,616.83</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2,005,465.36</w:t>
            </w:r>
          </w:p>
        </w:tc>
      </w:tr>
      <w:tr>
        <w:trPr>
          <w:trHeight w:val="300" w:hRule="atLeast"/>
        </w:trPr>
        <w:tc>
          <w:tcPr>
            <w:tcW w:w="3895"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Членские взносы</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14,522,724.23</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13,171,898.16</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1,350,826.07</w:t>
            </w:r>
          </w:p>
        </w:tc>
      </w:tr>
      <w:tr>
        <w:trPr>
          <w:trHeight w:val="300" w:hRule="atLeast"/>
        </w:trPr>
        <w:tc>
          <w:tcPr>
            <w:tcW w:w="3895"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Авансы по договорам подряда</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9,073,568.15</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5,789,556.78</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3,284,011.37</w:t>
            </w:r>
          </w:p>
        </w:tc>
      </w:tr>
      <w:tr>
        <w:trPr>
          <w:trHeight w:val="300" w:hRule="atLeast"/>
        </w:trPr>
        <w:tc>
          <w:tcPr>
            <w:tcW w:w="3895"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Целевые взносы</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0.00</w:t>
            </w:r>
          </w:p>
        </w:tc>
      </w:tr>
      <w:tr>
        <w:trPr>
          <w:trHeight w:val="300" w:hRule="atLeast"/>
        </w:trPr>
        <w:tc>
          <w:tcPr>
            <w:tcW w:w="1018"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2877" w:type="dxa"/>
            <w:tcBorders/>
            <w:shd w:fill="auto" w:val="clear"/>
            <w:vAlign w:val="center"/>
          </w:tcPr>
          <w:p>
            <w:pPr>
              <w:pStyle w:val="Normal"/>
              <w:spacing w:lineRule="auto" w:line="240" w:before="0" w:after="0"/>
              <w:rPr>
                <w:sz w:val="18"/>
                <w:szCs w:val="18"/>
                <w:lang w:eastAsia="ru-RU"/>
              </w:rPr>
            </w:pPr>
            <w:r>
              <w:rPr>
                <w:sz w:val="18"/>
                <w:szCs w:val="18"/>
                <w:lang w:eastAsia="ru-RU"/>
              </w:rPr>
              <w:t>на компенсацию аренды</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3,786,579.34</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3,109,792.46</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676,786.88</w:t>
            </w:r>
          </w:p>
        </w:tc>
      </w:tr>
      <w:tr>
        <w:trPr>
          <w:trHeight w:val="300" w:hRule="atLeast"/>
        </w:trPr>
        <w:tc>
          <w:tcPr>
            <w:tcW w:w="1018"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2877" w:type="dxa"/>
            <w:tcBorders/>
            <w:shd w:fill="auto" w:val="clear"/>
            <w:vAlign w:val="center"/>
          </w:tcPr>
          <w:p>
            <w:pPr>
              <w:pStyle w:val="Normal"/>
              <w:spacing w:lineRule="auto" w:line="240" w:before="0" w:after="0"/>
              <w:rPr>
                <w:sz w:val="18"/>
                <w:szCs w:val="18"/>
                <w:lang w:eastAsia="ru-RU"/>
              </w:rPr>
            </w:pPr>
            <w:r>
              <w:rPr>
                <w:sz w:val="18"/>
                <w:szCs w:val="18"/>
                <w:lang w:eastAsia="ru-RU"/>
              </w:rPr>
              <w:t>на инфраструктуру</w:t>
            </w:r>
          </w:p>
        </w:tc>
        <w:tc>
          <w:tcPr>
            <w:tcW w:w="1487" w:type="dxa"/>
            <w:tcBorders/>
            <w:shd w:fill="auto" w:val="clear"/>
            <w:vAlign w:val="center"/>
          </w:tcPr>
          <w:p>
            <w:pPr>
              <w:pStyle w:val="Normal"/>
              <w:spacing w:lineRule="auto" w:line="240" w:before="0" w:after="0"/>
              <w:jc w:val="right"/>
              <w:rPr>
                <w:color w:val="C00000"/>
                <w:sz w:val="20"/>
                <w:szCs w:val="20"/>
                <w:lang w:eastAsia="ru-RU"/>
              </w:rPr>
            </w:pPr>
            <w:r>
              <w:rPr>
                <w:color w:val="C00000"/>
                <w:sz w:val="20"/>
                <w:szCs w:val="20"/>
                <w:lang w:eastAsia="ru-RU"/>
              </w:rPr>
              <w:t>43,101,419.10</w:t>
            </w:r>
          </w:p>
        </w:tc>
        <w:tc>
          <w:tcPr>
            <w:tcW w:w="1515" w:type="dxa"/>
            <w:tcBorders/>
            <w:shd w:fill="auto" w:val="clear"/>
            <w:vAlign w:val="center"/>
          </w:tcPr>
          <w:p>
            <w:pPr>
              <w:pStyle w:val="Normal"/>
              <w:spacing w:lineRule="auto" w:line="240" w:before="0" w:after="0"/>
              <w:jc w:val="right"/>
              <w:rPr>
                <w:color w:val="C00000"/>
                <w:sz w:val="20"/>
                <w:szCs w:val="20"/>
                <w:lang w:eastAsia="ru-RU"/>
              </w:rPr>
            </w:pPr>
            <w:r>
              <w:rPr>
                <w:color w:val="C00000"/>
                <w:sz w:val="20"/>
                <w:szCs w:val="20"/>
                <w:lang w:eastAsia="ru-RU"/>
              </w:rPr>
              <w:t>75,992,714.72</w:t>
            </w:r>
          </w:p>
        </w:tc>
        <w:tc>
          <w:tcPr>
            <w:tcW w:w="2049" w:type="dxa"/>
            <w:tcBorders/>
            <w:shd w:fill="auto" w:val="clear"/>
            <w:vAlign w:val="center"/>
          </w:tcPr>
          <w:p>
            <w:pPr>
              <w:pStyle w:val="Normal"/>
              <w:spacing w:lineRule="auto" w:line="240" w:before="0" w:after="0"/>
              <w:jc w:val="right"/>
              <w:rPr>
                <w:color w:val="C00000"/>
                <w:sz w:val="20"/>
                <w:szCs w:val="20"/>
                <w:lang w:eastAsia="ru-RU"/>
              </w:rPr>
            </w:pPr>
            <w:r>
              <w:rPr>
                <w:color w:val="C00000"/>
                <w:sz w:val="20"/>
                <w:szCs w:val="20"/>
                <w:lang w:eastAsia="ru-RU"/>
              </w:rPr>
              <w:t>-32,891,295.62</w:t>
            </w:r>
          </w:p>
        </w:tc>
      </w:tr>
      <w:tr>
        <w:trPr>
          <w:trHeight w:val="300" w:hRule="atLeast"/>
        </w:trPr>
        <w:tc>
          <w:tcPr>
            <w:tcW w:w="1018"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2877" w:type="dxa"/>
            <w:tcBorders/>
            <w:shd w:fill="auto" w:val="clear"/>
            <w:vAlign w:val="center"/>
          </w:tcPr>
          <w:p>
            <w:pPr>
              <w:pStyle w:val="Normal"/>
              <w:spacing w:lineRule="auto" w:line="240" w:before="0" w:after="0"/>
              <w:rPr>
                <w:sz w:val="18"/>
                <w:szCs w:val="18"/>
                <w:lang w:eastAsia="ru-RU"/>
              </w:rPr>
            </w:pPr>
            <w:r>
              <w:rPr>
                <w:sz w:val="18"/>
                <w:szCs w:val="18"/>
                <w:lang w:eastAsia="ru-RU"/>
              </w:rPr>
              <w:t>на электричество  доп.взносы</w:t>
            </w:r>
          </w:p>
        </w:tc>
        <w:tc>
          <w:tcPr>
            <w:tcW w:w="1487" w:type="dxa"/>
            <w:tcBorders/>
            <w:shd w:fill="auto" w:val="clear"/>
            <w:vAlign w:val="center"/>
          </w:tcPr>
          <w:p>
            <w:pPr>
              <w:pStyle w:val="Normal"/>
              <w:spacing w:lineRule="auto" w:line="240" w:before="0" w:after="0"/>
              <w:jc w:val="right"/>
              <w:rPr>
                <w:color w:val="C00000"/>
                <w:sz w:val="20"/>
                <w:szCs w:val="20"/>
                <w:lang w:eastAsia="ru-RU"/>
              </w:rPr>
            </w:pPr>
            <w:r>
              <w:rPr>
                <w:color w:val="C00000"/>
                <w:sz w:val="20"/>
                <w:szCs w:val="20"/>
                <w:lang w:eastAsia="ru-RU"/>
              </w:rPr>
              <w:t>12,463,006.08</w:t>
            </w:r>
          </w:p>
        </w:tc>
        <w:tc>
          <w:tcPr>
            <w:tcW w:w="1515" w:type="dxa"/>
            <w:tcBorders/>
            <w:shd w:fill="auto" w:val="clear"/>
            <w:vAlign w:val="center"/>
          </w:tcPr>
          <w:p>
            <w:pPr>
              <w:pStyle w:val="Normal"/>
              <w:spacing w:lineRule="auto" w:line="240" w:before="0" w:after="0"/>
              <w:jc w:val="right"/>
              <w:rPr>
                <w:color w:val="C00000"/>
                <w:sz w:val="20"/>
                <w:szCs w:val="20"/>
                <w:lang w:eastAsia="ru-RU"/>
              </w:rPr>
            </w:pPr>
            <w:r>
              <w:rPr>
                <w:color w:val="C00000"/>
                <w:sz w:val="20"/>
                <w:szCs w:val="20"/>
                <w:lang w:eastAsia="ru-RU"/>
              </w:rPr>
              <w:t>0.00</w:t>
            </w:r>
          </w:p>
        </w:tc>
        <w:tc>
          <w:tcPr>
            <w:tcW w:w="2049" w:type="dxa"/>
            <w:tcBorders/>
            <w:shd w:fill="auto" w:val="clear"/>
            <w:vAlign w:val="center"/>
          </w:tcPr>
          <w:p>
            <w:pPr>
              <w:pStyle w:val="Normal"/>
              <w:spacing w:lineRule="auto" w:line="240" w:before="0" w:after="0"/>
              <w:jc w:val="right"/>
              <w:rPr>
                <w:color w:val="C00000"/>
                <w:sz w:val="20"/>
                <w:szCs w:val="20"/>
                <w:lang w:eastAsia="ru-RU"/>
              </w:rPr>
            </w:pPr>
            <w:r>
              <w:rPr>
                <w:color w:val="C00000"/>
                <w:sz w:val="20"/>
                <w:szCs w:val="20"/>
                <w:lang w:eastAsia="ru-RU"/>
              </w:rPr>
              <w:t>12,463,006.08</w:t>
            </w:r>
          </w:p>
        </w:tc>
      </w:tr>
      <w:tr>
        <w:trPr>
          <w:trHeight w:val="300" w:hRule="atLeast"/>
        </w:trPr>
        <w:tc>
          <w:tcPr>
            <w:tcW w:w="1018"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2877" w:type="dxa"/>
            <w:tcBorders/>
            <w:shd w:fill="auto" w:val="clear"/>
            <w:vAlign w:val="center"/>
          </w:tcPr>
          <w:p>
            <w:pPr>
              <w:pStyle w:val="Normal"/>
              <w:spacing w:lineRule="auto" w:line="240" w:before="0" w:after="0"/>
              <w:rPr>
                <w:sz w:val="18"/>
                <w:szCs w:val="18"/>
                <w:lang w:eastAsia="ru-RU"/>
              </w:rPr>
            </w:pPr>
            <w:r>
              <w:rPr>
                <w:sz w:val="18"/>
                <w:szCs w:val="18"/>
                <w:lang w:eastAsia="ru-RU"/>
              </w:rPr>
              <w:t xml:space="preserve">на газ </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10,143,643.40</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710,294.00</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9,433,349.40</w:t>
            </w:r>
          </w:p>
        </w:tc>
      </w:tr>
      <w:tr>
        <w:trPr>
          <w:trHeight w:val="300" w:hRule="atLeast"/>
        </w:trPr>
        <w:tc>
          <w:tcPr>
            <w:tcW w:w="1018"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2877" w:type="dxa"/>
            <w:tcBorders/>
            <w:shd w:fill="auto" w:val="clear"/>
            <w:vAlign w:val="center"/>
          </w:tcPr>
          <w:p>
            <w:pPr>
              <w:pStyle w:val="Normal"/>
              <w:spacing w:lineRule="auto" w:line="240" w:before="0" w:after="0"/>
              <w:rPr>
                <w:sz w:val="18"/>
                <w:szCs w:val="18"/>
                <w:lang w:eastAsia="ru-RU"/>
              </w:rPr>
            </w:pPr>
            <w:r>
              <w:rPr>
                <w:sz w:val="18"/>
                <w:szCs w:val="18"/>
                <w:lang w:eastAsia="ru-RU"/>
              </w:rPr>
              <w:t>на электричество (возмещ.затрат)</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1,253,184.99</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1,551,883.96</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-298,698.97</w:t>
            </w:r>
          </w:p>
        </w:tc>
      </w:tr>
      <w:tr>
        <w:trPr>
          <w:trHeight w:val="300" w:hRule="atLeast"/>
        </w:trPr>
        <w:tc>
          <w:tcPr>
            <w:tcW w:w="1018" w:type="dxa"/>
            <w:tcBorders/>
            <w:shd w:fill="auto" w:val="clear"/>
            <w:vAlign w:val="center"/>
          </w:tcPr>
          <w:p>
            <w:pPr>
              <w:pStyle w:val="Normal"/>
              <w:spacing w:lineRule="auto" w:line="240" w:before="0" w:after="0"/>
              <w:jc w:val="center"/>
              <w:rPr>
                <w:sz w:val="18"/>
                <w:szCs w:val="18"/>
                <w:lang w:eastAsia="ru-RU"/>
              </w:rPr>
            </w:pPr>
            <w:r>
              <w:rPr>
                <w:sz w:val="18"/>
                <w:szCs w:val="18"/>
                <w:lang w:eastAsia="ru-RU"/>
              </w:rPr>
            </w:r>
          </w:p>
        </w:tc>
        <w:tc>
          <w:tcPr>
            <w:tcW w:w="2877" w:type="dxa"/>
            <w:tcBorders/>
            <w:shd w:fill="auto" w:val="clear"/>
            <w:vAlign w:val="center"/>
          </w:tcPr>
          <w:p>
            <w:pPr>
              <w:pStyle w:val="Normal"/>
              <w:spacing w:lineRule="auto" w:line="240" w:before="0" w:after="0"/>
              <w:rPr>
                <w:sz w:val="18"/>
                <w:szCs w:val="18"/>
                <w:lang w:eastAsia="ru-RU"/>
              </w:rPr>
            </w:pPr>
            <w:r>
              <w:rPr>
                <w:sz w:val="18"/>
                <w:szCs w:val="18"/>
                <w:lang w:eastAsia="ru-RU"/>
              </w:rPr>
              <w:t>на топо-кадастровые работы</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5,547,820.20</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0.00</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5,547,820.20</w:t>
            </w:r>
          </w:p>
        </w:tc>
      </w:tr>
      <w:tr>
        <w:trPr>
          <w:trHeight w:val="300" w:hRule="atLeast"/>
        </w:trPr>
        <w:tc>
          <w:tcPr>
            <w:tcW w:w="3895"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Добровольные взносы</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280,000.00</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0.00</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280,000.00</w:t>
            </w:r>
          </w:p>
        </w:tc>
      </w:tr>
      <w:tr>
        <w:trPr>
          <w:trHeight w:val="300" w:hRule="atLeast"/>
        </w:trPr>
        <w:tc>
          <w:tcPr>
            <w:tcW w:w="3895" w:type="dxa"/>
            <w:gridSpan w:val="2"/>
            <w:tcBorders/>
            <w:shd w:fill="auto" w:val="clear"/>
            <w:vAlign w:val="center"/>
          </w:tcPr>
          <w:p>
            <w:pPr>
              <w:pStyle w:val="Normal"/>
              <w:spacing w:lineRule="auto" w:line="240" w:before="0" w:after="0"/>
              <w:rPr>
                <w:sz w:val="18"/>
                <w:szCs w:val="18"/>
                <w:lang w:eastAsia="ru-RU"/>
              </w:rPr>
            </w:pPr>
            <w:r>
              <w:rPr>
                <w:sz w:val="18"/>
                <w:szCs w:val="18"/>
                <w:lang w:eastAsia="ru-RU"/>
              </w:rPr>
              <w:t>Возврат займа</w:t>
            </w:r>
          </w:p>
        </w:tc>
        <w:tc>
          <w:tcPr>
            <w:tcW w:w="1487" w:type="dxa"/>
            <w:tcBorders/>
            <w:shd w:fill="auto" w:val="clear"/>
            <w:vAlign w:val="center"/>
          </w:tcPr>
          <w:p>
            <w:pPr>
              <w:pStyle w:val="Normal"/>
              <w:spacing w:lineRule="auto" w:line="240" w:before="0" w:after="0"/>
              <w:jc w:val="right"/>
              <w:rPr>
                <w:sz w:val="20"/>
                <w:szCs w:val="20"/>
                <w:lang w:eastAsia="ru-RU"/>
              </w:rPr>
            </w:pPr>
            <w:r>
              <w:rPr>
                <w:sz w:val="20"/>
                <w:szCs w:val="20"/>
                <w:lang w:eastAsia="ru-RU"/>
              </w:rPr>
              <w:t>25,000.00</w:t>
            </w:r>
          </w:p>
        </w:tc>
        <w:tc>
          <w:tcPr>
            <w:tcW w:w="1515" w:type="dxa"/>
            <w:tcBorders/>
            <w:shd w:fill="auto" w:val="clear"/>
            <w:vAlign w:val="center"/>
          </w:tcPr>
          <w:p>
            <w:pPr>
              <w:pStyle w:val="Normal"/>
              <w:spacing w:lineRule="auto" w:line="240" w:before="0" w:after="0"/>
              <w:jc w:val="right"/>
              <w:rPr>
                <w:sz w:val="20"/>
                <w:szCs w:val="20"/>
                <w:lang w:eastAsia="ru-RU"/>
              </w:rPr>
            </w:pPr>
            <w:r>
              <w:rPr>
                <w:sz w:val="20"/>
                <w:szCs w:val="20"/>
                <w:lang w:eastAsia="ru-RU"/>
              </w:rPr>
              <w:t>0.00</w:t>
            </w:r>
          </w:p>
        </w:tc>
        <w:tc>
          <w:tcPr>
            <w:tcW w:w="2049" w:type="dxa"/>
            <w:tcBorders/>
            <w:shd w:fill="auto" w:val="clear"/>
            <w:vAlign w:val="center"/>
          </w:tcPr>
          <w:p>
            <w:pPr>
              <w:pStyle w:val="Normal"/>
              <w:spacing w:lineRule="auto" w:line="240" w:before="0" w:after="0"/>
              <w:jc w:val="right"/>
              <w:rPr>
                <w:sz w:val="20"/>
                <w:szCs w:val="20"/>
                <w:lang w:eastAsia="ru-RU"/>
              </w:rPr>
            </w:pPr>
            <w:r>
              <w:rPr>
                <w:sz w:val="20"/>
                <w:szCs w:val="20"/>
                <w:lang w:eastAsia="ru-RU"/>
              </w:rPr>
              <w:t>25,000.00</w:t>
            </w:r>
          </w:p>
        </w:tc>
      </w:tr>
      <w:tr>
        <w:trPr>
          <w:trHeight w:val="300" w:hRule="atLeast"/>
        </w:trPr>
        <w:tc>
          <w:tcPr>
            <w:tcW w:w="1018" w:type="dxa"/>
            <w:tcBorders/>
            <w:shd w:fill="auto" w:val="clear"/>
            <w:vAlign w:val="bottom"/>
          </w:tcPr>
          <w:p>
            <w:pPr>
              <w:pStyle w:val="Normal"/>
              <w:spacing w:lineRule="auto" w:line="240" w:before="0" w:after="0"/>
              <w:rPr>
                <w:color w:val="000000"/>
                <w:lang w:eastAsia="ru-RU"/>
              </w:rPr>
            </w:pPr>
            <w:r>
              <w:rPr>
                <w:color w:val="000000"/>
                <w:lang w:eastAsia="ru-RU"/>
              </w:rPr>
            </w:r>
          </w:p>
        </w:tc>
        <w:tc>
          <w:tcPr>
            <w:tcW w:w="2877" w:type="dxa"/>
            <w:tcBorders/>
            <w:shd w:fill="auto" w:val="clear"/>
            <w:vAlign w:val="bottom"/>
          </w:tcPr>
          <w:p>
            <w:pPr>
              <w:pStyle w:val="Normal"/>
              <w:spacing w:lineRule="auto" w:line="240" w:before="0" w:after="0"/>
              <w:rPr>
                <w:color w:val="000000"/>
                <w:lang w:eastAsia="ru-RU"/>
              </w:rPr>
            </w:pPr>
            <w:r>
              <w:rPr>
                <w:color w:val="000000"/>
                <w:lang w:eastAsia="ru-RU"/>
              </w:rPr>
            </w:r>
          </w:p>
        </w:tc>
        <w:tc>
          <w:tcPr>
            <w:tcW w:w="1487" w:type="dxa"/>
            <w:tcBorders/>
            <w:shd w:fill="auto" w:val="clear"/>
            <w:vAlign w:val="center"/>
          </w:tcPr>
          <w:p>
            <w:pPr>
              <w:pStyle w:val="Normal"/>
              <w:spacing w:lineRule="auto" w:line="240" w:before="0" w:after="0"/>
              <w:jc w:val="right"/>
              <w:rPr>
                <w:b/>
                <w:b/>
                <w:bCs/>
                <w:sz w:val="20"/>
                <w:szCs w:val="20"/>
                <w:lang w:eastAsia="ru-RU"/>
              </w:rPr>
            </w:pPr>
            <w:r>
              <w:rPr>
                <w:b/>
                <w:bCs/>
                <w:sz w:val="20"/>
                <w:szCs w:val="20"/>
                <w:lang w:eastAsia="ru-RU"/>
              </w:rPr>
              <w:t>158,423,027.68</w:t>
            </w:r>
          </w:p>
        </w:tc>
        <w:tc>
          <w:tcPr>
            <w:tcW w:w="1515" w:type="dxa"/>
            <w:tcBorders/>
            <w:shd w:fill="auto" w:val="clear"/>
            <w:vAlign w:val="center"/>
          </w:tcPr>
          <w:p>
            <w:pPr>
              <w:pStyle w:val="Normal"/>
              <w:spacing w:lineRule="auto" w:line="240" w:before="0" w:after="0"/>
              <w:jc w:val="right"/>
              <w:rPr>
                <w:b/>
                <w:b/>
                <w:bCs/>
                <w:sz w:val="20"/>
                <w:szCs w:val="20"/>
                <w:lang w:eastAsia="ru-RU"/>
              </w:rPr>
            </w:pPr>
            <w:r>
              <w:rPr>
                <w:b/>
                <w:bCs/>
                <w:sz w:val="20"/>
                <w:szCs w:val="20"/>
                <w:lang w:eastAsia="ru-RU"/>
              </w:rPr>
              <w:t>156,546,756.91</w:t>
            </w:r>
          </w:p>
        </w:tc>
        <w:tc>
          <w:tcPr>
            <w:tcW w:w="2049" w:type="dxa"/>
            <w:tcBorders/>
            <w:shd w:fill="auto" w:val="clear"/>
            <w:vAlign w:val="center"/>
          </w:tcPr>
          <w:p>
            <w:pPr>
              <w:pStyle w:val="Normal"/>
              <w:spacing w:lineRule="auto" w:line="240" w:before="0" w:after="0"/>
              <w:jc w:val="right"/>
              <w:rPr>
                <w:b/>
                <w:b/>
                <w:bCs/>
                <w:sz w:val="20"/>
                <w:szCs w:val="20"/>
                <w:lang w:eastAsia="ru-RU"/>
              </w:rPr>
            </w:pPr>
            <w:r>
              <w:rPr>
                <w:b/>
                <w:bCs/>
                <w:sz w:val="20"/>
                <w:szCs w:val="20"/>
                <w:lang w:eastAsia="ru-RU"/>
              </w:rPr>
              <w:t>1,876,270.77</w:t>
            </w:r>
          </w:p>
        </w:tc>
      </w:tr>
    </w:tbl>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 xml:space="preserve">В СНП отсутствует документ, регламентирующий, какие именно расходы за счет каких взносов осуществляются, а также регламентирующий порядок расходования средств, определения источника и акцепта расходов уполномоченными лицами. Расходы СНП не могут превышать утвержденную смету. При необходимости осуществления расходов сверх сметы, решение должно приниматься общим собранием. Экономия по другим статьям расходов не может являться источником превышения сметы по другим статьям, если не оформлено соответствующее решение. Цифры по статьям, по которым допущено превышение утвержденной сметы, в Отчетах об использовании средств выделены цветом. Превышения допущены не только внутри одного вида взносов по статьям, но и суммарно по видам взносов.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Согласно Закону 66-ФЗ цель вступительных взносов определена как</w:t>
      </w:r>
      <w:r>
        <w:rPr>
          <w:rFonts w:ascii="Cambria" w:hAnsi="Cambria"/>
          <w:color w:val="173BD3"/>
          <w:shd w:fill="FFFFFF" w:val="clear"/>
        </w:rPr>
        <w:t xml:space="preserve"> </w:t>
      </w:r>
      <w:r>
        <w:rPr>
          <w:rFonts w:ascii="Cambria" w:hAnsi="Cambria"/>
          <w:shd w:fill="FFFFFF" w:val="clear"/>
        </w:rPr>
        <w:t>«</w:t>
      </w:r>
      <w:r>
        <w:rPr/>
        <w:t>организационные расходы на оформление документации». По факту вступительные взносы расходуются на рекламные цели, приобретение мат.ценностей, ремонт дорог.</w:t>
      </w:r>
    </w:p>
    <w:p>
      <w:pPr>
        <w:pStyle w:val="NormalWeb"/>
        <w:spacing w:beforeAutospacing="0" w:before="0" w:afterAutospacing="0" w:after="0"/>
        <w:ind w:left="-567" w:firstLine="567"/>
        <w:jc w:val="both"/>
        <w:rPr/>
      </w:pPr>
      <w:r>
        <w:rPr/>
        <w:t xml:space="preserve">Членские взносы индексируются на коэффициент инфляции. Поправка на коэффициент инфляции доходной частью сметы не предусмотрена. При всей логичности данной меры, это является нарушением действующего законодательства. Раздельный учет поступлений инфляционных корректировок не ведется. </w:t>
      </w:r>
    </w:p>
    <w:p>
      <w:pPr>
        <w:pStyle w:val="NormalWeb"/>
        <w:spacing w:beforeAutospacing="0" w:before="0" w:afterAutospacing="0" w:after="0"/>
        <w:ind w:left="-567" w:firstLine="567"/>
        <w:jc w:val="both"/>
        <w:rPr/>
      </w:pPr>
      <w:r>
        <w:rPr/>
        <w:t>В практике СНП имеются также взносы за выход из партнерства. Ревизионной комиссии не предоставлены протоколы об их установлении, порядок их использования.</w:t>
      </w:r>
    </w:p>
    <w:p>
      <w:pPr>
        <w:pStyle w:val="NormalWeb"/>
        <w:spacing w:beforeAutospacing="0" w:before="0" w:afterAutospacing="0" w:after="0"/>
        <w:ind w:left="-567" w:firstLine="567"/>
        <w:jc w:val="both"/>
        <w:rPr/>
      </w:pPr>
      <w:r>
        <w:rPr/>
        <w:t>Превышение поступлений членских взносов над их расходованием в сумме 1,3 млн руб не учтено при расчете членских взносов 2016 года.</w:t>
      </w:r>
    </w:p>
    <w:p>
      <w:pPr>
        <w:pStyle w:val="NormalWeb"/>
        <w:spacing w:beforeAutospacing="0" w:before="0" w:afterAutospacing="0" w:after="0"/>
        <w:ind w:left="-567" w:firstLine="567"/>
        <w:jc w:val="both"/>
        <w:rPr/>
      </w:pPr>
      <w:r>
        <w:rPr/>
        <w:t xml:space="preserve">Не предоставлено решение общего собрания по установлению взносов за дополнительные электрические мощности и порядок их расходования. </w:t>
      </w:r>
    </w:p>
    <w:p>
      <w:pPr>
        <w:pStyle w:val="NormalWeb"/>
        <w:spacing w:beforeAutospacing="0" w:before="0" w:afterAutospacing="0" w:after="0"/>
        <w:ind w:left="-567" w:firstLine="567"/>
        <w:jc w:val="both"/>
        <w:rPr/>
      </w:pPr>
      <w:r>
        <w:rPr/>
        <w:t xml:space="preserve">В штате СНП в 2015 году было утверждено от 13,5 до 15,5 штатных единиц. Месячный фонд заработной платы составлял 415 500- 441 100 руб. Штатное расписание с изменениями предоставлено. Средний фактический ФОТ в месяц был равен 396 700 руб. Должностные инструкции отсутствуют. Трудовые договоры не исследовались. Коллективный договор с утверждением, в частности, расходов на питание, отсутствует. </w:t>
      </w:r>
    </w:p>
    <w:p>
      <w:pPr>
        <w:pStyle w:val="NormalWeb"/>
        <w:spacing w:beforeAutospacing="0" w:before="0" w:afterAutospacing="0" w:after="0"/>
        <w:ind w:left="-567" w:firstLine="567"/>
        <w:jc w:val="both"/>
        <w:rPr/>
      </w:pPr>
      <w:r>
        <w:rPr/>
        <w:t xml:space="preserve">Расходы на ремонт подъездной дороги выделены из оплат расчетным путем, поскольку отдельный договор на данный фронт работ не заключался, обоснование расходов отсутствует, учета заявок контрагенту нет. Договор на уборку снега есть, учета заявок и обоснования расходов нет. Выполненные работы не закрыты актами (см. прим.6). </w:t>
      </w:r>
    </w:p>
    <w:p>
      <w:pPr>
        <w:pStyle w:val="NormalWeb"/>
        <w:spacing w:beforeAutospacing="0" w:before="0" w:afterAutospacing="0" w:after="0"/>
        <w:ind w:left="-567" w:firstLine="567"/>
        <w:jc w:val="both"/>
        <w:rPr/>
      </w:pPr>
      <w:r>
        <w:rPr/>
        <w:t xml:space="preserve">Пени по договору аренды не могут быть отнесены за счет целевых взносов по аренде. </w:t>
      </w:r>
    </w:p>
    <w:p>
      <w:pPr>
        <w:pStyle w:val="NormalWeb"/>
        <w:spacing w:beforeAutospacing="0" w:before="0" w:afterAutospacing="0" w:after="0"/>
        <w:ind w:left="-567" w:firstLine="567"/>
        <w:jc w:val="both"/>
        <w:rPr/>
      </w:pPr>
      <w:r>
        <w:rPr/>
        <w:t xml:space="preserve">Все приобретенные столбы (опоры) были отнесены за счет целевых взносов на инфраструктуру (электричество), хотя частично были использованы для установки на участках в рамках договоров подряда. Раздельный учет не ведется. </w:t>
      </w:r>
    </w:p>
    <w:p>
      <w:pPr>
        <w:pStyle w:val="NormalWeb"/>
        <w:spacing w:beforeAutospacing="0" w:before="0" w:afterAutospacing="0" w:after="0"/>
        <w:ind w:left="-567" w:firstLine="567"/>
        <w:jc w:val="both"/>
        <w:rPr/>
      </w:pPr>
      <w:r>
        <w:rPr/>
        <w:t xml:space="preserve">Отсутствует также учет щебня, отпущенного на строительство (ремонт дорог) подрядчику. </w:t>
      </w:r>
    </w:p>
    <w:p>
      <w:pPr>
        <w:pStyle w:val="NormalWeb"/>
        <w:spacing w:beforeAutospacing="0" w:before="0" w:afterAutospacing="0" w:after="0"/>
        <w:ind w:left="-567" w:firstLine="567"/>
        <w:jc w:val="both"/>
        <w:rPr/>
      </w:pPr>
      <w:r>
        <w:rPr/>
        <w:t xml:space="preserve">Договоры на маркетинговые услуги с несколькими индивидуальными предпринимателями (пример см. Прим. 6.6) не отвечают требованиям обоснованного списания затрат. Стоимость услуг в договорах не определена. Из договоров также не ясны объемы услуг Исполнителей, порядок отчетности Исполнителей перед Заказчиком, порядок проверки объемов и порядок определения цены  оказанных услуг.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СНП арендует автомобили Газ 66 и ГАЗ 33021 у ИП Бондарев Р.А (см. прим. 12.2.3). Годовая аренда составила 510 000-00. За сумму годовой аренды 510 000-00 данные автомобили можно было выкупить.</w:t>
      </w:r>
    </w:p>
    <w:p>
      <w:pPr>
        <w:pStyle w:val="NormalWeb"/>
        <w:spacing w:beforeAutospacing="0" w:before="0" w:afterAutospacing="0" w:after="0"/>
        <w:ind w:left="-567" w:firstLine="567"/>
        <w:jc w:val="both"/>
        <w:rPr/>
      </w:pPr>
      <w:r>
        <w:rPr/>
        <w:t xml:space="preserve">СНП имеет договор аренды с ИП Байковой Н.М. на аренду. По информации администрации, предмет аренды – рекламный щит и помещения под отдел продаж, договор не предоставлен. </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bookmarkStart w:id="0" w:name="_GoBack"/>
      <w:bookmarkStart w:id="1" w:name="_GoBack"/>
      <w:bookmarkEnd w:id="1"/>
      <w:r>
        <w:rPr/>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16. Ведение учета и документационное обеспечение управления</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 xml:space="preserve">Администрацией СНП не предоставлен ряд документов (договоры, паспорта объектов), данные документов указаны в тексте акта.  Составлен акт об утрате. Согласно акту, документы могут быть восстановлены. На дату окончания ревизии восстановленные документы не представлены. </w:t>
      </w:r>
    </w:p>
    <w:p>
      <w:pPr>
        <w:pStyle w:val="NormalWeb"/>
        <w:spacing w:beforeAutospacing="0" w:before="0" w:afterAutospacing="0" w:after="0"/>
        <w:ind w:left="-567" w:firstLine="567"/>
        <w:jc w:val="both"/>
        <w:rPr/>
      </w:pPr>
      <w:r>
        <w:rPr/>
        <w:t>Отсутствуют многие предусмотренные законодательством организационные документы, обозначенные в тексте акта.</w:t>
      </w:r>
    </w:p>
    <w:p>
      <w:pPr>
        <w:pStyle w:val="NormalWeb"/>
        <w:spacing w:beforeAutospacing="0" w:before="0" w:afterAutospacing="0" w:after="0"/>
        <w:ind w:left="-567" w:firstLine="567"/>
        <w:jc w:val="both"/>
        <w:rPr/>
      </w:pPr>
      <w:r>
        <w:rPr/>
        <w:t xml:space="preserve">В тексте акта выше отражен также ряд ошибок и недочетов в бухгалтерском учете СНП. </w:t>
      </w:r>
    </w:p>
    <w:p>
      <w:pPr>
        <w:pStyle w:val="NormalWeb"/>
        <w:spacing w:beforeAutospacing="0" w:before="0" w:afterAutospacing="0" w:after="0"/>
        <w:ind w:left="-567" w:firstLine="567"/>
        <w:jc w:val="both"/>
        <w:rPr/>
      </w:pPr>
      <w:r>
        <w:rPr/>
        <w:t>При ведении учета не соблюдаются строго даты операции. Например, операции по расчетному счету, отраженные в выписке банка 02/06/2015 и 05/06/2015, проведены в бухгалтерской системе 30/06/2015. Это затрудняет ревизионные мероприятия.</w:t>
      </w:r>
    </w:p>
    <w:p>
      <w:pPr>
        <w:pStyle w:val="NormalWeb"/>
        <w:spacing w:beforeAutospacing="0" w:before="0" w:afterAutospacing="0" w:after="0"/>
        <w:jc w:val="both"/>
        <w:rPr/>
      </w:pPr>
      <w:r>
        <w:rPr/>
      </w:r>
    </w:p>
    <w:p>
      <w:pPr>
        <w:pStyle w:val="NormalWeb"/>
        <w:spacing w:beforeAutospacing="0" w:before="0" w:afterAutospacing="0" w:after="0"/>
        <w:ind w:left="-567" w:firstLine="567"/>
        <w:jc w:val="both"/>
        <w:rPr/>
      </w:pPr>
      <w:r>
        <w:rPr/>
        <w:t>17. Налогообложение</w:t>
      </w:r>
    </w:p>
    <w:p>
      <w:pPr>
        <w:pStyle w:val="NormalWeb"/>
        <w:spacing w:beforeAutospacing="0" w:before="0" w:afterAutospacing="0" w:after="0"/>
        <w:ind w:left="-567" w:firstLine="567"/>
        <w:jc w:val="both"/>
        <w:rPr/>
      </w:pPr>
      <w:r>
        <w:rPr/>
      </w:r>
    </w:p>
    <w:p>
      <w:pPr>
        <w:pStyle w:val="NormalWeb"/>
        <w:spacing w:beforeAutospacing="0" w:before="0" w:afterAutospacing="0" w:after="0"/>
        <w:ind w:left="-567" w:firstLine="567"/>
        <w:jc w:val="both"/>
        <w:rPr/>
      </w:pPr>
      <w:r>
        <w:rPr/>
        <w:t>Согласно Налоговому Кодексу РФ (ст.251) при определении налоговой базы также не учитываются целевые поступления на содержание некоммерческих организаций и ведение ими уставной деятельности – взносы членов. Взносы садоводов, не являющихся членами СНП, могут быть признаны налоговой базой с соответствующими налоговыми последствиями (начисление 6% налога при УСН, штрафы и пени).</w:t>
      </w:r>
    </w:p>
    <w:p>
      <w:pPr>
        <w:pStyle w:val="NormalWeb"/>
        <w:spacing w:beforeAutospacing="0" w:before="0" w:afterAutospacing="0" w:after="0"/>
        <w:ind w:left="-567" w:firstLine="567"/>
        <w:jc w:val="both"/>
        <w:rPr/>
      </w:pPr>
      <w:r>
        <w:rPr/>
        <w:t>Налоговым риском является также длительное признание в бухгалтерском учете оплаченных контрагентам сумм в качестве авансов. Поскольку цель, для которой были собраны взносы, не достигнута (документально оформленная утрата договоров на большие суммы, не закрытых актами, это только усугубляет), то взносы не могут быть признаны целевыми, а такие взносы квалифицируются как налогооблагаемый доход.</w:t>
      </w:r>
    </w:p>
    <w:p>
      <w:pPr>
        <w:pStyle w:val="NormalWeb"/>
        <w:spacing w:beforeAutospacing="0" w:before="0" w:afterAutospacing="0" w:after="0"/>
        <w:ind w:left="-567" w:firstLine="567"/>
        <w:jc w:val="both"/>
        <w:rPr/>
      </w:pPr>
      <w:r>
        <w:rPr/>
        <w:t>Налогообложение может быть применено при проверках к вступительным взносам, взносам за выход и добровольным взносам в СНП.</w:t>
      </w:r>
    </w:p>
    <w:p>
      <w:pPr>
        <w:pStyle w:val="NormalWeb"/>
        <w:spacing w:beforeAutospacing="0" w:before="0" w:afterAutospacing="0" w:after="0"/>
        <w:ind w:left="-567" w:firstLine="567"/>
        <w:jc w:val="both"/>
        <w:rPr/>
      </w:pPr>
      <w:r>
        <w:rPr/>
        <w:t>При соответствующей трактовке, налог к уплате может составить существенную сумму.</w:t>
      </w:r>
    </w:p>
    <w:p>
      <w:pPr>
        <w:pStyle w:val="NormalWeb"/>
        <w:spacing w:beforeAutospacing="0" w:before="0" w:afterAutospacing="0" w:after="0"/>
        <w:ind w:left="-567" w:firstLine="567"/>
        <w:jc w:val="both"/>
        <w:rPr/>
      </w:pPr>
      <w:r>
        <w:rPr/>
      </w:r>
    </w:p>
    <w:p>
      <w:pPr>
        <w:pStyle w:val="NormalWeb"/>
        <w:spacing w:beforeAutospacing="0" w:before="0" w:afterAutospacing="0" w:after="0"/>
        <w:ind w:left="720" w:hanging="0"/>
        <w:jc w:val="both"/>
        <w:rPr>
          <w:color w:val="FF0000"/>
        </w:rPr>
      </w:pPr>
      <w:r>
        <w:rPr>
          <w:color w:val="FF0000"/>
        </w:rPr>
      </w:r>
    </w:p>
    <w:p>
      <w:pPr>
        <w:pStyle w:val="NormalWeb"/>
        <w:spacing w:beforeAutospacing="0" w:before="0" w:afterAutospacing="0" w:after="0"/>
        <w:jc w:val="both"/>
        <w:rPr/>
      </w:pPr>
      <w:r>
        <w:rPr/>
        <w:t xml:space="preserve"> </w:t>
      </w:r>
      <w:r>
        <w:rPr/>
        <w:t>Рекомендации:</w:t>
      </w:r>
    </w:p>
    <w:p>
      <w:pPr>
        <w:pStyle w:val="NormalWeb"/>
        <w:spacing w:beforeAutospacing="0" w:before="0" w:afterAutospacing="0" w:after="0"/>
        <w:ind w:left="720" w:hanging="0"/>
        <w:jc w:val="both"/>
        <w:rPr/>
      </w:pPr>
      <w:r>
        <w:rPr/>
      </w:r>
    </w:p>
    <w:p>
      <w:pPr>
        <w:pStyle w:val="NormalWeb"/>
        <w:spacing w:beforeAutospacing="0" w:before="0" w:afterAutospacing="0" w:after="0"/>
        <w:jc w:val="both"/>
        <w:rPr/>
      </w:pPr>
      <w:r>
        <w:rPr/>
        <w:t>Предоставить ревизионной комиссии все документы, утраченные или не предоставленные, а также оформить все отсутствующие организационно-распорядительные документы по СНП, отраженные в тексте акта.</w:t>
      </w:r>
    </w:p>
    <w:p>
      <w:pPr>
        <w:pStyle w:val="NormalWeb"/>
        <w:spacing w:beforeAutospacing="0" w:before="0" w:afterAutospacing="0" w:after="0"/>
        <w:jc w:val="both"/>
        <w:rPr/>
      </w:pPr>
      <w:r>
        <w:rPr/>
      </w:r>
    </w:p>
    <w:p>
      <w:pPr>
        <w:pStyle w:val="NormalWeb"/>
        <w:spacing w:beforeAutospacing="0" w:before="0" w:afterAutospacing="0" w:after="0"/>
        <w:jc w:val="both"/>
        <w:rPr/>
      </w:pPr>
      <w:r>
        <w:rPr/>
        <w:t>Обеспечить возврат беспроцентного займа, выданного СНП, не допускать заключения подобных договоров (повтор рекомендации по итогам ревизии 2014 года).</w:t>
      </w:r>
    </w:p>
    <w:p>
      <w:pPr>
        <w:pStyle w:val="NormalWeb"/>
        <w:spacing w:beforeAutospacing="0" w:before="0" w:afterAutospacing="0" w:after="0"/>
        <w:jc w:val="both"/>
        <w:rPr/>
      </w:pPr>
      <w:r>
        <w:rPr/>
      </w:r>
    </w:p>
    <w:p>
      <w:pPr>
        <w:pStyle w:val="NormalWeb"/>
        <w:spacing w:beforeAutospacing="0" w:before="0" w:afterAutospacing="0" w:after="0"/>
        <w:jc w:val="both"/>
        <w:rPr/>
      </w:pPr>
      <w:r>
        <w:rPr/>
        <w:t>Прояснить статус счета в КБ Викинг, принять меры к закрытию счета (повтор рекомендации по итогам ревизии 2014 года).</w:t>
      </w:r>
    </w:p>
    <w:p>
      <w:pPr>
        <w:pStyle w:val="NormalWeb"/>
        <w:spacing w:beforeAutospacing="0" w:before="0" w:afterAutospacing="0" w:after="0"/>
        <w:ind w:left="1080" w:hanging="0"/>
        <w:jc w:val="both"/>
        <w:rPr/>
      </w:pPr>
      <w:r>
        <w:rPr/>
      </w:r>
    </w:p>
    <w:p>
      <w:pPr>
        <w:pStyle w:val="NormalWeb"/>
        <w:spacing w:beforeAutospacing="0" w:before="0" w:afterAutospacing="0" w:after="0"/>
        <w:jc w:val="both"/>
        <w:rPr/>
      </w:pPr>
      <w:r>
        <w:rPr/>
        <w:t>Провести внеплановую инвентаризацию дебиторской задолженности СНП. Все суммы дебиторской задолженности должны быть обоснованы и сверены с контрагентами. О результатах инвентаризации отчитаться перед ОСС и выявленные расхождения отразить в учете. Проводить ежегодные инвентаризации активов и обязательств перед составлением годового отчета в соответствии с 34н (повтор рекомендации по итогам ревизии 2014 года).</w:t>
      </w:r>
    </w:p>
    <w:p>
      <w:pPr>
        <w:pStyle w:val="NormalWeb"/>
        <w:spacing w:beforeAutospacing="0" w:before="0" w:afterAutospacing="0" w:after="0"/>
        <w:ind w:left="1080" w:hanging="0"/>
        <w:jc w:val="both"/>
        <w:rPr/>
      </w:pPr>
      <w:r>
        <w:rPr/>
      </w:r>
    </w:p>
    <w:p>
      <w:pPr>
        <w:pStyle w:val="NormalWeb"/>
        <w:spacing w:beforeAutospacing="0" w:before="0" w:afterAutospacing="0" w:after="0"/>
        <w:jc w:val="both"/>
        <w:rPr/>
      </w:pPr>
      <w:r>
        <w:rPr/>
        <w:t>Разработать и ввести в действие регламент осуществления расходов, по которому на момент оплаты определяется источник расходования средств, проверяется наличие остатка лимита и акцептуется ответственным лицом. Не допускать нелигитимного перерасхода лимитов. Обеспечить формирование отчета об использовании средств на любой момент времени с полной расшифровкой платежей по каждой статье.</w:t>
      </w:r>
    </w:p>
    <w:p>
      <w:pPr>
        <w:pStyle w:val="NormalWeb"/>
        <w:spacing w:beforeAutospacing="0" w:before="0" w:afterAutospacing="0" w:after="0"/>
        <w:jc w:val="both"/>
        <w:rPr/>
      </w:pPr>
      <w:r>
        <w:rPr/>
      </w:r>
    </w:p>
    <w:p>
      <w:pPr>
        <w:pStyle w:val="NormalWeb"/>
        <w:spacing w:beforeAutospacing="0" w:before="0" w:afterAutospacing="0" w:after="0"/>
        <w:jc w:val="both"/>
        <w:rPr/>
      </w:pPr>
      <w:r>
        <w:rPr/>
        <w:t>При заключении договоров с контрагентами и подписании актов выполненных работ не допускать общих формулировок, не дающих представления о видах, сроках  и  объемах работ (услуг). Организовать договорную работу таким образом, чтобы сроки и объемы работ контролировались и надлежаще документально оформлялись (акты приемки работ или документы об изменении сроков). Создать Техническую комиссию СНП под руководством Правления для ведения такой работы (повтор рекомендации по итогам ревизии 2014 года).</w:t>
      </w:r>
    </w:p>
    <w:p>
      <w:pPr>
        <w:pStyle w:val="NormalWeb"/>
        <w:spacing w:beforeAutospacing="0" w:before="0" w:afterAutospacing="0" w:after="0"/>
        <w:jc w:val="both"/>
        <w:rPr/>
      </w:pPr>
      <w:r>
        <w:rPr/>
      </w:r>
    </w:p>
    <w:p>
      <w:pPr>
        <w:pStyle w:val="NormalWeb"/>
        <w:spacing w:beforeAutospacing="0" w:before="0" w:afterAutospacing="0" w:after="0"/>
        <w:jc w:val="both"/>
        <w:rPr/>
      </w:pPr>
      <w:r>
        <w:rPr/>
        <w:t xml:space="preserve">Принять меры к сокращению бухгалтерских ошибок, не допускать некорректной финансовой отчетности, исправить ошибки, отраженные в акте. Каждая сумма, отраженная на счетах бухгалтерского учета и в финансовой отчетности должны быть обоснована и документально подтверждена. </w:t>
      </w:r>
    </w:p>
    <w:p>
      <w:pPr>
        <w:pStyle w:val="NormalWeb"/>
        <w:spacing w:beforeAutospacing="0" w:before="0" w:afterAutospacing="0" w:after="0"/>
        <w:jc w:val="both"/>
        <w:rPr/>
      </w:pPr>
      <w:r>
        <w:rPr/>
      </w:r>
    </w:p>
    <w:p>
      <w:pPr>
        <w:pStyle w:val="NormalWeb"/>
        <w:spacing w:beforeAutospacing="0" w:before="0" w:afterAutospacing="0" w:after="0"/>
        <w:jc w:val="both"/>
        <w:rPr/>
      </w:pPr>
      <w:r>
        <w:rPr/>
        <w:t>Продолжить работу по сокращению задолженности садоводов по членским и иным взносам возможными законными способами.</w:t>
      </w:r>
    </w:p>
    <w:p>
      <w:pPr>
        <w:pStyle w:val="NormalWeb"/>
        <w:spacing w:beforeAutospacing="0" w:before="0" w:afterAutospacing="0" w:after="0"/>
        <w:jc w:val="both"/>
        <w:rPr/>
      </w:pPr>
      <w:r>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Члены ревизионной комиссии:</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______________</w:t>
        <w:tab/>
        <w:tab/>
        <w:tab/>
        <w:t>Л. Ю. Яицкий</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______________</w:t>
        <w:tab/>
        <w:tab/>
        <w:tab/>
        <w:t>Е. И. Антипова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______________</w:t>
        <w:tab/>
        <w:tab/>
        <w:tab/>
        <w:t>Ю. М. Семенова</w:t>
      </w:r>
    </w:p>
    <w:p>
      <w:pPr>
        <w:pStyle w:val="NormalWeb"/>
        <w:spacing w:beforeAutospacing="0" w:before="0" w:afterAutospacing="0" w:after="0"/>
        <w:ind w:left="720" w:hanging="0"/>
        <w:jc w:val="both"/>
        <w:rPr/>
      </w:pPr>
      <w:r>
        <w:rPr/>
      </w:r>
    </w:p>
    <w:sectPr>
      <w:footerReference w:type="default" r:id="rId2"/>
      <w:type w:val="nextPage"/>
      <w:pgSz w:w="11906" w:h="16838"/>
      <w:pgMar w:left="1701" w:right="850" w:header="0" w:top="851"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 w:name="Cambria">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spacing w:before="0" w:after="200"/>
      <w:jc w:val="center"/>
      <w:rPr/>
    </w:pPr>
    <w:r>
      <w:rPr>
        <w:rStyle w:val="Pagenumber"/>
      </w:rPr>
      <w:fldChar w:fldCharType="begin"/>
    </w:r>
    <w:r>
      <w:instrText> PAGE </w:instrText>
    </w:r>
    <w:r>
      <w:fldChar w:fldCharType="separate"/>
    </w:r>
    <w:r>
      <w:t>1</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3"/>
      <w:numFmt w:val="bullet"/>
      <w:lvlText w:val=""/>
      <w:lvlJc w:val="left"/>
      <w:pPr>
        <w:ind w:left="900" w:hanging="360"/>
      </w:pPr>
      <w:rPr>
        <w:rFonts w:ascii="Symbol" w:hAnsi="Symbol" w:cs="Symbol" w:hint="default"/>
        <w:sz w:val="24"/>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cs="Wingdings" w:hint="default"/>
      </w:rPr>
    </w:lvl>
    <w:lvl w:ilvl="3">
      <w:start w:val="1"/>
      <w:numFmt w:val="bullet"/>
      <w:lvlText w:val=""/>
      <w:lvlJc w:val="left"/>
      <w:pPr>
        <w:ind w:left="3060" w:hanging="360"/>
      </w:pPr>
      <w:rPr>
        <w:rFonts w:ascii="Symbol" w:hAnsi="Symbol" w:cs="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cs="Wingdings" w:hint="default"/>
      </w:rPr>
    </w:lvl>
    <w:lvl w:ilvl="6">
      <w:start w:val="1"/>
      <w:numFmt w:val="bullet"/>
      <w:lvlText w:val=""/>
      <w:lvlJc w:val="left"/>
      <w:pPr>
        <w:ind w:left="5220" w:hanging="360"/>
      </w:pPr>
      <w:rPr>
        <w:rFonts w:ascii="Symbol" w:hAnsi="Symbol" w:cs="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cs="Wingdings" w:hint="default"/>
      </w:rPr>
    </w:lvl>
  </w:abstractNum>
  <w:abstractNum w:abstractNumId="2">
    <w:lvl w:ilvl="0">
      <w:start w:val="1"/>
      <w:numFmt w:val="decimal"/>
      <w:lvlText w:val="%1."/>
      <w:lvlJc w:val="left"/>
      <w:pPr>
        <w:ind w:left="720" w:hanging="360"/>
      </w:pPr>
      <w:rPr>
        <w:rFonts w:cs="Times New Roman"/>
      </w:rPr>
    </w:lvl>
    <w:lvl w:ilvl="1">
      <w:start w:val="2"/>
      <w:numFmt w:val="decimal"/>
      <w:lvlText w:val="%1.%2."/>
      <w:lvlJc w:val="left"/>
      <w:pPr>
        <w:ind w:left="720"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8"/>
  <w:compat>
    <w:compatSetting w:name="compatibilityMode" w:uri="http://schemas.microsoft.com/office/word" w:val="1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ru-RU" w:eastAsia="ru-RU" w:bidi="ar-SA"/>
      </w:rPr>
    </w:rPrDefault>
    <w:pPrDefault>
      <w:pPr/>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310ef1"/>
    <w:pPr>
      <w:widowControl/>
      <w:bidi w:val="0"/>
      <w:spacing w:lineRule="auto" w:line="276" w:before="0" w:after="200"/>
      <w:jc w:val="left"/>
    </w:pPr>
    <w:rPr>
      <w:rFonts w:ascii="Calibri" w:hAnsi="Calibri" w:eastAsia="Calibri" w:cs="Times New Roman"/>
      <w:color w:val="auto"/>
      <w:kern w:val="0"/>
      <w:sz w:val="22"/>
      <w:szCs w:val="22"/>
      <w:lang w:eastAsia="en-US" w:val="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5"/>
    <w:uiPriority w:val="99"/>
    <w:semiHidden/>
    <w:qFormat/>
    <w:locked/>
    <w:rsid w:val="00877368"/>
    <w:rPr>
      <w:rFonts w:ascii="Tahoma" w:hAnsi="Tahoma" w:cs="Tahoma"/>
      <w:sz w:val="16"/>
      <w:szCs w:val="16"/>
    </w:rPr>
  </w:style>
  <w:style w:type="character" w:styleId="Style15" w:customStyle="1">
    <w:name w:val="Верхний колонтитул Знак"/>
    <w:basedOn w:val="DefaultParagraphFont"/>
    <w:link w:val="a8"/>
    <w:uiPriority w:val="99"/>
    <w:semiHidden/>
    <w:qFormat/>
    <w:rsid w:val="00fd5fd4"/>
    <w:rPr>
      <w:lang w:eastAsia="en-US"/>
    </w:rPr>
  </w:style>
  <w:style w:type="character" w:styleId="Style16" w:customStyle="1">
    <w:name w:val="Нижний колонтитул Знак"/>
    <w:basedOn w:val="DefaultParagraphFont"/>
    <w:link w:val="aa"/>
    <w:uiPriority w:val="99"/>
    <w:semiHidden/>
    <w:qFormat/>
    <w:rsid w:val="00fd5fd4"/>
    <w:rPr>
      <w:lang w:eastAsia="en-US"/>
    </w:rPr>
  </w:style>
  <w:style w:type="character" w:styleId="Pagenumber">
    <w:name w:val="page number"/>
    <w:basedOn w:val="DefaultParagraphFont"/>
    <w:uiPriority w:val="99"/>
    <w:qFormat/>
    <w:rsid w:val="00e62777"/>
    <w:rPr>
      <w:rFonts w:cs="Times New Roman"/>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sz w:val="28"/>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eastAsia="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eastAsia="Times New Roman"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ascii="Times New Roman" w:hAnsi="Times New Roman" w:eastAsia="Times New Roman"/>
      <w:sz w:val="24"/>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eastAsia="Times New Roman"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paragraph" w:styleId="Style17">
    <w:name w:val="Заголовок"/>
    <w:basedOn w:val="Normal"/>
    <w:next w:val="Style18"/>
    <w:qFormat/>
    <w:pPr>
      <w:keepNext w:val="true"/>
      <w:spacing w:before="240" w:after="120"/>
    </w:pPr>
    <w:rPr>
      <w:rFonts w:ascii="Liberation Sans" w:hAnsi="Liberation Sans" w:eastAsia="Noto Sans CJK SC Regular" w:cs="Lohit Devanagari"/>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NormalWeb">
    <w:name w:val="Normal (Web)"/>
    <w:basedOn w:val="Normal"/>
    <w:uiPriority w:val="99"/>
    <w:qFormat/>
    <w:rsid w:val="003f6dcd"/>
    <w:pPr>
      <w:spacing w:lineRule="auto" w:line="240" w:beforeAutospacing="1" w:afterAutospacing="1"/>
    </w:pPr>
    <w:rPr>
      <w:rFonts w:ascii="Times New Roman" w:hAnsi="Times New Roman" w:eastAsia="Times New Roman"/>
      <w:sz w:val="24"/>
      <w:szCs w:val="24"/>
      <w:lang w:eastAsia="ru-RU"/>
    </w:rPr>
  </w:style>
  <w:style w:type="paragraph" w:styleId="Listparagraph" w:customStyle="1">
    <w:name w:val="listparagraph"/>
    <w:basedOn w:val="Normal"/>
    <w:uiPriority w:val="99"/>
    <w:qFormat/>
    <w:rsid w:val="003f6dcd"/>
    <w:pPr>
      <w:spacing w:lineRule="auto" w:line="240" w:beforeAutospacing="1" w:afterAutospacing="1"/>
    </w:pPr>
    <w:rPr>
      <w:rFonts w:ascii="Times New Roman" w:hAnsi="Times New Roman" w:eastAsia="Times New Roman"/>
      <w:sz w:val="24"/>
      <w:szCs w:val="24"/>
      <w:lang w:eastAsia="ru-RU"/>
    </w:rPr>
  </w:style>
  <w:style w:type="paragraph" w:styleId="ListParagraph1">
    <w:name w:val="List Paragraph"/>
    <w:basedOn w:val="Normal"/>
    <w:uiPriority w:val="99"/>
    <w:qFormat/>
    <w:rsid w:val="00925bc0"/>
    <w:pPr>
      <w:spacing w:before="0" w:after="200"/>
      <w:ind w:left="720" w:hanging="0"/>
      <w:contextualSpacing/>
    </w:pPr>
    <w:rPr/>
  </w:style>
  <w:style w:type="paragraph" w:styleId="BalloonText">
    <w:name w:val="Balloon Text"/>
    <w:basedOn w:val="Normal"/>
    <w:link w:val="a6"/>
    <w:uiPriority w:val="99"/>
    <w:semiHidden/>
    <w:qFormat/>
    <w:rsid w:val="00877368"/>
    <w:pPr>
      <w:spacing w:lineRule="auto" w:line="240" w:before="0" w:after="0"/>
    </w:pPr>
    <w:rPr>
      <w:rFonts w:ascii="Tahoma" w:hAnsi="Tahoma" w:cs="Tahoma"/>
      <w:sz w:val="16"/>
      <w:szCs w:val="16"/>
    </w:rPr>
  </w:style>
  <w:style w:type="paragraph" w:styleId="Style22">
    <w:name w:val="Header"/>
    <w:basedOn w:val="Normal"/>
    <w:link w:val="a9"/>
    <w:uiPriority w:val="99"/>
    <w:rsid w:val="00e62777"/>
    <w:pPr>
      <w:tabs>
        <w:tab w:val="center" w:pos="4677" w:leader="none"/>
        <w:tab w:val="right" w:pos="9355" w:leader="none"/>
      </w:tabs>
    </w:pPr>
    <w:rPr/>
  </w:style>
  <w:style w:type="paragraph" w:styleId="Style23">
    <w:name w:val="Footer"/>
    <w:basedOn w:val="Normal"/>
    <w:link w:val="ab"/>
    <w:uiPriority w:val="99"/>
    <w:rsid w:val="00e62777"/>
    <w:pPr>
      <w:tabs>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7">
    <w:name w:val="Table Grid"/>
    <w:basedOn w:val="a1"/>
    <w:uiPriority w:val="99"/>
    <w:rsid w:val="002954b4"/>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30976</TotalTime>
  <Application>LibreOffice/5.4.6.2$Linux_X86_64 LibreOffice_project/40m0$Build-2</Application>
  <Pages>26</Pages>
  <Words>7168</Words>
  <Characters>44695</Characters>
  <CharactersWithSpaces>53045</CharactersWithSpaces>
  <Paragraphs>1048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2016-08-04T14:02:00Z</dcterms:created>
  <dc:creator>User</dc:creator>
  <dc:description/>
  <dc:language>ru-RU</dc:language>
  <cp:lastModifiedBy/>
  <cp:lastPrinted>2015-07-08T15:24:00Z</cp:lastPrinted>
  <dcterms:modified xsi:type="dcterms:W3CDTF">2018-05-02T14:47:06Z</dcterms:modified>
  <cp:revision>19</cp:revision>
  <dc:subject/>
  <dc:title/>
</cp:coreProperties>
</file>